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56" w:rsidRPr="00ED56C7" w:rsidRDefault="00363907" w:rsidP="008A7C56">
      <w:pPr>
        <w:pStyle w:val="Heading1"/>
        <w:spacing w:before="1560"/>
        <w:rPr>
          <w:color w:val="00746B"/>
        </w:rPr>
      </w:pPr>
      <w:bookmarkStart w:id="0" w:name="_GoBack"/>
      <w:bookmarkEnd w:id="0"/>
      <w:r w:rsidRPr="00ED56C7">
        <w:rPr>
          <w:noProof/>
          <w:color w:val="00746B"/>
          <w:lang w:eastAsia="en-AU"/>
        </w:rPr>
        <mc:AlternateContent>
          <mc:Choice Requires="wpg">
            <w:drawing>
              <wp:anchor distT="0" distB="0" distL="114300" distR="114300" simplePos="0" relativeHeight="251659264" behindDoc="0" locked="0" layoutInCell="1" allowOverlap="1" wp14:anchorId="47575A3A" wp14:editId="7D2D3616">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8544E8" w:rsidRPr="00363907" w:rsidRDefault="008544E8" w:rsidP="00363907">
                              <w:pPr>
                                <w:pStyle w:val="Title"/>
                                <w:tabs>
                                  <w:tab w:val="left" w:pos="8789"/>
                                </w:tabs>
                                <w:ind w:left="-284" w:right="89"/>
                                <w:jc w:val="right"/>
                                <w:rPr>
                                  <w:color w:val="FFFFFF" w:themeColor="background1"/>
                                </w:rPr>
                              </w:pPr>
                              <w:r w:rsidRPr="00363907">
                                <w:rPr>
                                  <w:color w:val="FFFFFF" w:themeColor="background1"/>
                                </w:rPr>
                                <w:t>Vacancy Report</w:t>
                              </w:r>
                            </w:p>
                            <w:p w:rsidR="008544E8" w:rsidRPr="00363907" w:rsidRDefault="008544E8" w:rsidP="00363907">
                              <w:pPr>
                                <w:pStyle w:val="Subtitle"/>
                                <w:spacing w:after="0"/>
                                <w:ind w:left="-284"/>
                                <w:jc w:val="right"/>
                                <w:rPr>
                                  <w:color w:val="FFFFFF" w:themeColor="background1"/>
                                </w:rPr>
                              </w:pPr>
                              <w:r>
                                <w:rPr>
                                  <w:color w:val="FFFFFF" w:themeColor="background1"/>
                                </w:rPr>
                                <w:t>December</w:t>
                              </w:r>
                              <w:r w:rsidRPr="00363907">
                                <w:rPr>
                                  <w:color w:val="FFFFFF" w:themeColor="background1"/>
                                </w:rPr>
                                <w:t xml:space="preserve"> 2014</w:t>
                              </w:r>
                            </w:p>
                            <w:p w:rsidR="008544E8" w:rsidRPr="00363907" w:rsidRDefault="008544E8" w:rsidP="00363907">
                              <w:pPr>
                                <w:jc w:val="right"/>
                                <w:rPr>
                                  <w:color w:val="FFFFFF" w:themeColor="background1"/>
                                </w:rPr>
                              </w:pPr>
                              <w:r>
                                <w:rPr>
                                  <w:color w:val="FFFFFF" w:themeColor="background1"/>
                                </w:rPr>
                                <w:t>Release date: 28</w:t>
                              </w:r>
                              <w:r w:rsidRPr="00363907">
                                <w:rPr>
                                  <w:color w:val="FFFFFF" w:themeColor="background1"/>
                                </w:rPr>
                                <w:t xml:space="preserve"> </w:t>
                              </w:r>
                              <w:r>
                                <w:rPr>
                                  <w:color w:val="FFFFFF" w:themeColor="background1"/>
                                </w:rPr>
                                <w:t>January 2015</w:t>
                              </w:r>
                            </w:p>
                            <w:p w:rsidR="008544E8" w:rsidRPr="00930C49" w:rsidRDefault="008544E8"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47575A3A"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9"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8544E8" w:rsidRPr="00363907" w:rsidRDefault="008544E8" w:rsidP="00363907">
                        <w:pPr>
                          <w:pStyle w:val="Title"/>
                          <w:tabs>
                            <w:tab w:val="left" w:pos="8789"/>
                          </w:tabs>
                          <w:ind w:left="-284" w:right="89"/>
                          <w:jc w:val="right"/>
                          <w:rPr>
                            <w:color w:val="FFFFFF" w:themeColor="background1"/>
                          </w:rPr>
                        </w:pPr>
                        <w:r w:rsidRPr="00363907">
                          <w:rPr>
                            <w:color w:val="FFFFFF" w:themeColor="background1"/>
                          </w:rPr>
                          <w:t>Vacancy Report</w:t>
                        </w:r>
                      </w:p>
                      <w:p w:rsidR="008544E8" w:rsidRPr="00363907" w:rsidRDefault="008544E8" w:rsidP="00363907">
                        <w:pPr>
                          <w:pStyle w:val="Subtitle"/>
                          <w:spacing w:after="0"/>
                          <w:ind w:left="-284"/>
                          <w:jc w:val="right"/>
                          <w:rPr>
                            <w:color w:val="FFFFFF" w:themeColor="background1"/>
                          </w:rPr>
                        </w:pPr>
                        <w:r>
                          <w:rPr>
                            <w:color w:val="FFFFFF" w:themeColor="background1"/>
                          </w:rPr>
                          <w:t>December</w:t>
                        </w:r>
                        <w:r w:rsidRPr="00363907">
                          <w:rPr>
                            <w:color w:val="FFFFFF" w:themeColor="background1"/>
                          </w:rPr>
                          <w:t xml:space="preserve"> 2014</w:t>
                        </w:r>
                      </w:p>
                      <w:p w:rsidR="008544E8" w:rsidRPr="00363907" w:rsidRDefault="008544E8" w:rsidP="00363907">
                        <w:pPr>
                          <w:jc w:val="right"/>
                          <w:rPr>
                            <w:color w:val="FFFFFF" w:themeColor="background1"/>
                          </w:rPr>
                        </w:pPr>
                        <w:r>
                          <w:rPr>
                            <w:color w:val="FFFFFF" w:themeColor="background1"/>
                          </w:rPr>
                          <w:t>Release date: 28</w:t>
                        </w:r>
                        <w:r w:rsidRPr="00363907">
                          <w:rPr>
                            <w:color w:val="FFFFFF" w:themeColor="background1"/>
                          </w:rPr>
                          <w:t xml:space="preserve"> </w:t>
                        </w:r>
                        <w:r>
                          <w:rPr>
                            <w:color w:val="FFFFFF" w:themeColor="background1"/>
                          </w:rPr>
                          <w:t>January 2015</w:t>
                        </w:r>
                      </w:p>
                      <w:p w:rsidR="008544E8" w:rsidRPr="00930C49" w:rsidRDefault="008544E8" w:rsidP="00363907">
                        <w:pPr>
                          <w:rPr>
                            <w:color w:val="FFFFFF" w:themeColor="background1"/>
                          </w:rPr>
                        </w:pPr>
                      </w:p>
                    </w:txbxContent>
                  </v:textbox>
                </v:shape>
              </v:group>
            </w:pict>
          </mc:Fallback>
        </mc:AlternateContent>
      </w:r>
      <w:r w:rsidR="001B0866" w:rsidRPr="00ED56C7">
        <w:rPr>
          <w:color w:val="00746B"/>
        </w:rPr>
        <w:t>Key</w:t>
      </w:r>
      <w:r w:rsidR="00930C49" w:rsidRPr="00ED56C7">
        <w:rPr>
          <w:color w:val="00746B"/>
        </w:rPr>
        <w:t xml:space="preserve"> Points</w:t>
      </w:r>
    </w:p>
    <w:p w:rsidR="0021306C" w:rsidRPr="00ED56C7" w:rsidRDefault="0035755D" w:rsidP="0021306C">
      <w:pPr>
        <w:pStyle w:val="BodyTextIndent"/>
        <w:tabs>
          <w:tab w:val="left" w:pos="-1843"/>
          <w:tab w:val="left" w:pos="426"/>
          <w:tab w:val="left" w:pos="1701"/>
        </w:tabs>
        <w:ind w:left="0"/>
        <w:jc w:val="both"/>
        <w:rPr>
          <w:rFonts w:asciiTheme="minorHAnsi" w:hAnsiTheme="minorHAnsi" w:cstheme="minorHAnsi"/>
          <w:szCs w:val="22"/>
        </w:rPr>
      </w:pPr>
      <w:r w:rsidRPr="00ED56C7">
        <w:rPr>
          <w:rFonts w:asciiTheme="minorHAnsi" w:hAnsiTheme="minorHAnsi" w:cstheme="minorHAnsi"/>
          <w:szCs w:val="22"/>
        </w:rPr>
        <w:t xml:space="preserve">The Internet Vacancy Index (IVI) declined by </w:t>
      </w:r>
      <w:r w:rsidR="00073AD9" w:rsidRPr="00ED56C7">
        <w:rPr>
          <w:rFonts w:asciiTheme="minorHAnsi" w:hAnsiTheme="minorHAnsi" w:cstheme="minorHAnsi"/>
          <w:szCs w:val="22"/>
        </w:rPr>
        <w:t>1.0</w:t>
      </w:r>
      <w:r w:rsidRPr="00ED56C7">
        <w:rPr>
          <w:rFonts w:asciiTheme="minorHAnsi" w:hAnsiTheme="minorHAnsi" w:cstheme="minorHAnsi"/>
          <w:szCs w:val="22"/>
        </w:rPr>
        <w:t xml:space="preserve"> per cent </w:t>
      </w:r>
      <w:r w:rsidR="00D9036A" w:rsidRPr="00ED56C7">
        <w:rPr>
          <w:rFonts w:asciiTheme="minorHAnsi" w:hAnsiTheme="minorHAnsi" w:cstheme="minorHAnsi"/>
          <w:szCs w:val="22"/>
        </w:rPr>
        <w:t xml:space="preserve">in trend terms in </w:t>
      </w:r>
      <w:r w:rsidR="00073AD9" w:rsidRPr="00ED56C7">
        <w:rPr>
          <w:rFonts w:asciiTheme="minorHAnsi" w:hAnsiTheme="minorHAnsi" w:cstheme="minorHAnsi"/>
          <w:szCs w:val="22"/>
        </w:rPr>
        <w:t>Dece</w:t>
      </w:r>
      <w:r w:rsidR="00D9036A" w:rsidRPr="00ED56C7">
        <w:rPr>
          <w:rFonts w:asciiTheme="minorHAnsi" w:hAnsiTheme="minorHAnsi" w:cstheme="minorHAnsi"/>
          <w:szCs w:val="22"/>
        </w:rPr>
        <w:t>mber 2014</w:t>
      </w:r>
      <w:r w:rsidR="00ED56C7" w:rsidRPr="00ED56C7">
        <w:rPr>
          <w:rFonts w:asciiTheme="minorHAnsi" w:hAnsiTheme="minorHAnsi" w:cstheme="minorHAnsi"/>
          <w:szCs w:val="22"/>
        </w:rPr>
        <w:t>, driven primarily by a fall of 2.9 per cent in Western Australia</w:t>
      </w:r>
      <w:r w:rsidR="00073AD9" w:rsidRPr="00ED56C7">
        <w:rPr>
          <w:rFonts w:asciiTheme="minorHAnsi" w:hAnsiTheme="minorHAnsi" w:cstheme="minorHAnsi"/>
          <w:szCs w:val="22"/>
        </w:rPr>
        <w:t xml:space="preserve">. The IVI has now fallen </w:t>
      </w:r>
      <w:r w:rsidR="00A27C49">
        <w:rPr>
          <w:rFonts w:asciiTheme="minorHAnsi" w:hAnsiTheme="minorHAnsi" w:cstheme="minorHAnsi"/>
          <w:szCs w:val="22"/>
        </w:rPr>
        <w:t xml:space="preserve">for </w:t>
      </w:r>
      <w:r w:rsidR="00073AD9" w:rsidRPr="00ED56C7">
        <w:rPr>
          <w:rFonts w:asciiTheme="minorHAnsi" w:hAnsiTheme="minorHAnsi" w:cstheme="minorHAnsi"/>
          <w:szCs w:val="22"/>
        </w:rPr>
        <w:t xml:space="preserve">three consecutive months, </w:t>
      </w:r>
      <w:r w:rsidR="00ED56C7" w:rsidRPr="00ED56C7">
        <w:rPr>
          <w:rFonts w:asciiTheme="minorHAnsi" w:hAnsiTheme="minorHAnsi" w:cstheme="minorHAnsi"/>
          <w:szCs w:val="22"/>
        </w:rPr>
        <w:t xml:space="preserve">after recording modest vacancy growth over much of 2014. </w:t>
      </w:r>
      <w:r w:rsidR="005B0DCB">
        <w:rPr>
          <w:rFonts w:asciiTheme="minorHAnsi" w:hAnsiTheme="minorHAnsi" w:cstheme="minorHAnsi"/>
          <w:szCs w:val="22"/>
        </w:rPr>
        <w:t>However</w:t>
      </w:r>
      <w:r w:rsidR="00073AD9">
        <w:rPr>
          <w:rFonts w:asciiTheme="minorHAnsi" w:hAnsiTheme="minorHAnsi" w:cstheme="minorHAnsi"/>
          <w:szCs w:val="22"/>
        </w:rPr>
        <w:t>, a</w:t>
      </w:r>
      <w:r w:rsidRPr="00073AD9">
        <w:rPr>
          <w:rFonts w:asciiTheme="minorHAnsi" w:hAnsiTheme="minorHAnsi" w:cstheme="minorHAnsi"/>
          <w:szCs w:val="22"/>
          <w:lang w:eastAsia="en-AU"/>
        </w:rPr>
        <w:t>dditional</w:t>
      </w:r>
      <w:r w:rsidRPr="00073AD9">
        <w:rPr>
          <w:rFonts w:asciiTheme="minorHAnsi" w:hAnsiTheme="minorHAnsi" w:cstheme="minorHAnsi"/>
          <w:szCs w:val="22"/>
        </w:rPr>
        <w:t xml:space="preserve"> months of data will be required to determine whether the </w:t>
      </w:r>
      <w:r w:rsidR="00073AD9" w:rsidRPr="00073AD9">
        <w:rPr>
          <w:rFonts w:asciiTheme="minorHAnsi" w:hAnsiTheme="minorHAnsi" w:cstheme="minorHAnsi"/>
          <w:szCs w:val="22"/>
        </w:rPr>
        <w:t xml:space="preserve">recent decline </w:t>
      </w:r>
      <w:r w:rsidRPr="00073AD9">
        <w:rPr>
          <w:rFonts w:asciiTheme="minorHAnsi" w:hAnsiTheme="minorHAnsi" w:cstheme="minorHAnsi"/>
          <w:szCs w:val="22"/>
        </w:rPr>
        <w:t>in vacancies is indicative of a</w:t>
      </w:r>
      <w:r w:rsidR="00073AD9" w:rsidRPr="00073AD9">
        <w:rPr>
          <w:rFonts w:asciiTheme="minorHAnsi" w:hAnsiTheme="minorHAnsi" w:cstheme="minorHAnsi"/>
          <w:szCs w:val="22"/>
        </w:rPr>
        <w:t xml:space="preserve"> sustained</w:t>
      </w:r>
      <w:r w:rsidRPr="00073AD9">
        <w:rPr>
          <w:rFonts w:asciiTheme="minorHAnsi" w:hAnsiTheme="minorHAnsi" w:cstheme="minorHAnsi"/>
          <w:szCs w:val="22"/>
        </w:rPr>
        <w:t xml:space="preserve"> turning point in the series. Despite falling over the month, the IVI remains </w:t>
      </w:r>
      <w:r w:rsidR="00073AD9" w:rsidRPr="00073AD9">
        <w:rPr>
          <w:rFonts w:asciiTheme="minorHAnsi" w:hAnsiTheme="minorHAnsi" w:cstheme="minorHAnsi"/>
          <w:szCs w:val="22"/>
        </w:rPr>
        <w:t>9200</w:t>
      </w:r>
      <w:r w:rsidRPr="00073AD9">
        <w:rPr>
          <w:rFonts w:asciiTheme="minorHAnsi" w:hAnsiTheme="minorHAnsi" w:cstheme="minorHAnsi"/>
          <w:szCs w:val="22"/>
        </w:rPr>
        <w:t xml:space="preserve"> (or </w:t>
      </w:r>
      <w:r w:rsidR="00073AD9" w:rsidRPr="00073AD9">
        <w:rPr>
          <w:rFonts w:asciiTheme="minorHAnsi" w:hAnsiTheme="minorHAnsi" w:cstheme="minorHAnsi"/>
          <w:szCs w:val="22"/>
        </w:rPr>
        <w:t>6.4</w:t>
      </w:r>
      <w:r w:rsidRPr="00073AD9">
        <w:rPr>
          <w:rFonts w:asciiTheme="minorHAnsi" w:hAnsiTheme="minorHAnsi" w:cstheme="minorHAnsi"/>
          <w:szCs w:val="22"/>
        </w:rPr>
        <w:t xml:space="preserve"> per cent) higher than the level recorded a year ago, in line with other vacancy measures.</w:t>
      </w:r>
      <w:r w:rsidRPr="00073AD9">
        <w:rPr>
          <w:rFonts w:cstheme="minorHAnsi"/>
        </w:rPr>
        <w:t xml:space="preserve"> </w:t>
      </w:r>
      <w:r w:rsidRPr="00073AD9">
        <w:rPr>
          <w:rFonts w:asciiTheme="minorHAnsi" w:hAnsiTheme="minorHAnsi" w:cstheme="minorHAnsi"/>
          <w:szCs w:val="22"/>
        </w:rPr>
        <w:t>That said, the overall weakness in the level of vacancies continues to indicate that demand for labour remains relatively subdued, with the IVI 15</w:t>
      </w:r>
      <w:r w:rsidR="00073AD9" w:rsidRPr="00073AD9">
        <w:rPr>
          <w:rFonts w:asciiTheme="minorHAnsi" w:hAnsiTheme="minorHAnsi" w:cstheme="minorHAnsi"/>
          <w:szCs w:val="22"/>
        </w:rPr>
        <w:t>5</w:t>
      </w:r>
      <w:r w:rsidRPr="00073AD9">
        <w:rPr>
          <w:rFonts w:asciiTheme="minorHAnsi" w:hAnsiTheme="minorHAnsi" w:cstheme="minorHAnsi"/>
          <w:szCs w:val="22"/>
        </w:rPr>
        <w:t>,</w:t>
      </w:r>
      <w:r w:rsidR="00073AD9" w:rsidRPr="00073AD9">
        <w:rPr>
          <w:rFonts w:asciiTheme="minorHAnsi" w:hAnsiTheme="minorHAnsi" w:cstheme="minorHAnsi"/>
          <w:szCs w:val="22"/>
        </w:rPr>
        <w:t>0</w:t>
      </w:r>
      <w:r w:rsidRPr="00073AD9">
        <w:rPr>
          <w:rFonts w:asciiTheme="minorHAnsi" w:hAnsiTheme="minorHAnsi" w:cstheme="minorHAnsi"/>
          <w:szCs w:val="22"/>
        </w:rPr>
        <w:t>00 (or 50.</w:t>
      </w:r>
      <w:r w:rsidR="00073AD9" w:rsidRPr="00073AD9">
        <w:rPr>
          <w:rFonts w:asciiTheme="minorHAnsi" w:hAnsiTheme="minorHAnsi" w:cstheme="minorHAnsi"/>
          <w:szCs w:val="22"/>
        </w:rPr>
        <w:t>4</w:t>
      </w:r>
      <w:r w:rsidRPr="00073AD9">
        <w:rPr>
          <w:rFonts w:asciiTheme="minorHAnsi" w:hAnsiTheme="minorHAnsi" w:cstheme="minorHAnsi"/>
          <w:szCs w:val="22"/>
        </w:rPr>
        <w:t> per cent) below the March 2008 peak.</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6A5700" w:rsidRPr="0091191A" w:rsidTr="006A5700">
        <w:trPr>
          <w:tblHeader/>
        </w:trPr>
        <w:tc>
          <w:tcPr>
            <w:tcW w:w="4962" w:type="dxa"/>
            <w:shd w:val="clear" w:color="auto" w:fill="auto"/>
          </w:tcPr>
          <w:p w:rsidR="006A5700" w:rsidRPr="00073C5A" w:rsidRDefault="006A5700" w:rsidP="006A5700">
            <w:pPr>
              <w:pStyle w:val="Heading2"/>
              <w:spacing w:before="0" w:line="240" w:lineRule="auto"/>
              <w:contextualSpacing/>
              <w:rPr>
                <w:color w:val="00746B"/>
              </w:rPr>
            </w:pPr>
            <w:r w:rsidRPr="00073C5A">
              <w:rPr>
                <w:color w:val="00746B"/>
              </w:rPr>
              <w:t>Trend Summary</w:t>
            </w:r>
          </w:p>
          <w:p w:rsidR="006A5700" w:rsidRPr="00073C5A" w:rsidRDefault="006A5700" w:rsidP="006A5700">
            <w:pPr>
              <w:pStyle w:val="Heading3"/>
              <w:spacing w:before="60" w:line="240" w:lineRule="auto"/>
              <w:contextualSpacing/>
            </w:pPr>
            <w:r w:rsidRPr="00073C5A">
              <w:t>Annual Change</w:t>
            </w:r>
          </w:p>
          <w:p w:rsidR="006A5700" w:rsidRPr="00D63185" w:rsidRDefault="006A5700" w:rsidP="006A5700">
            <w:pPr>
              <w:pStyle w:val="ListParagraph"/>
              <w:numPr>
                <w:ilvl w:val="0"/>
                <w:numId w:val="1"/>
              </w:numPr>
              <w:spacing w:after="0" w:line="240" w:lineRule="auto"/>
              <w:ind w:left="357" w:hanging="357"/>
              <w:rPr>
                <w:sz w:val="20"/>
                <w:szCs w:val="20"/>
              </w:rPr>
            </w:pPr>
            <w:r w:rsidRPr="00D63185">
              <w:rPr>
                <w:sz w:val="20"/>
                <w:szCs w:val="20"/>
              </w:rPr>
              <w:t xml:space="preserve">Increased by </w:t>
            </w:r>
            <w:r w:rsidR="00D63185" w:rsidRPr="00D63185">
              <w:rPr>
                <w:sz w:val="20"/>
                <w:szCs w:val="20"/>
              </w:rPr>
              <w:t>6.4</w:t>
            </w:r>
            <w:r w:rsidR="00D126B2" w:rsidRPr="00D63185">
              <w:rPr>
                <w:sz w:val="20"/>
                <w:szCs w:val="20"/>
              </w:rPr>
              <w:t>% to 7</w:t>
            </w:r>
            <w:r w:rsidR="00D63185" w:rsidRPr="00D63185">
              <w:rPr>
                <w:sz w:val="20"/>
                <w:szCs w:val="20"/>
              </w:rPr>
              <w:t>1</w:t>
            </w:r>
            <w:r w:rsidR="00D126B2" w:rsidRPr="00D63185">
              <w:rPr>
                <w:sz w:val="20"/>
                <w:szCs w:val="20"/>
              </w:rPr>
              <w:t>.</w:t>
            </w:r>
            <w:r w:rsidR="00D63185" w:rsidRPr="00D63185">
              <w:rPr>
                <w:sz w:val="20"/>
                <w:szCs w:val="20"/>
              </w:rPr>
              <w:t>8</w:t>
            </w:r>
            <w:r w:rsidRPr="00D63185">
              <w:rPr>
                <w:sz w:val="20"/>
                <w:szCs w:val="20"/>
              </w:rPr>
              <w:t xml:space="preserve"> (Jan 2006 = 100).</w:t>
            </w:r>
          </w:p>
          <w:p w:rsidR="006A5700" w:rsidRPr="005E5C1C" w:rsidRDefault="006A5700" w:rsidP="006A5700">
            <w:pPr>
              <w:pStyle w:val="ListParagraph"/>
              <w:numPr>
                <w:ilvl w:val="0"/>
                <w:numId w:val="1"/>
              </w:numPr>
              <w:spacing w:after="0" w:line="240" w:lineRule="auto"/>
              <w:ind w:left="357" w:hanging="357"/>
              <w:rPr>
                <w:sz w:val="20"/>
                <w:szCs w:val="20"/>
              </w:rPr>
            </w:pPr>
            <w:r w:rsidRPr="005E5C1C">
              <w:rPr>
                <w:sz w:val="20"/>
                <w:szCs w:val="20"/>
              </w:rPr>
              <w:t xml:space="preserve">Increased in all eight occupational groups, with the strongest rises recorded for </w:t>
            </w:r>
            <w:r w:rsidR="00D126B2" w:rsidRPr="005E5C1C">
              <w:rPr>
                <w:sz w:val="20"/>
                <w:szCs w:val="20"/>
              </w:rPr>
              <w:t>Community and Personal Service Workers (</w:t>
            </w:r>
            <w:r w:rsidR="005E5C1C">
              <w:rPr>
                <w:sz w:val="20"/>
                <w:szCs w:val="20"/>
              </w:rPr>
              <w:t xml:space="preserve">up by </w:t>
            </w:r>
            <w:r w:rsidR="005E5C1C" w:rsidRPr="005E5C1C">
              <w:rPr>
                <w:sz w:val="20"/>
                <w:szCs w:val="20"/>
              </w:rPr>
              <w:t>15.7</w:t>
            </w:r>
            <w:r w:rsidR="00D126B2" w:rsidRPr="005E5C1C">
              <w:rPr>
                <w:sz w:val="20"/>
                <w:szCs w:val="20"/>
              </w:rPr>
              <w:t>%)</w:t>
            </w:r>
            <w:r w:rsidR="00487086" w:rsidRPr="005E5C1C">
              <w:rPr>
                <w:sz w:val="20"/>
                <w:szCs w:val="20"/>
              </w:rPr>
              <w:t>.</w:t>
            </w:r>
          </w:p>
          <w:p w:rsidR="006A5700" w:rsidRPr="005E5C1C" w:rsidRDefault="006A5700" w:rsidP="006A5700">
            <w:pPr>
              <w:pStyle w:val="ListParagraph"/>
              <w:numPr>
                <w:ilvl w:val="0"/>
                <w:numId w:val="1"/>
              </w:numPr>
              <w:spacing w:after="0" w:line="240" w:lineRule="auto"/>
              <w:ind w:left="357" w:hanging="357"/>
              <w:rPr>
                <w:sz w:val="20"/>
                <w:szCs w:val="20"/>
              </w:rPr>
            </w:pPr>
            <w:r w:rsidRPr="005E5C1C">
              <w:rPr>
                <w:sz w:val="20"/>
                <w:szCs w:val="20"/>
              </w:rPr>
              <w:t xml:space="preserve">Increased in all states and the Australian Capital Territory, with vacancies </w:t>
            </w:r>
            <w:r w:rsidR="005273D7">
              <w:rPr>
                <w:sz w:val="20"/>
                <w:szCs w:val="20"/>
              </w:rPr>
              <w:t xml:space="preserve">only </w:t>
            </w:r>
            <w:r w:rsidRPr="005E5C1C">
              <w:rPr>
                <w:sz w:val="20"/>
                <w:szCs w:val="20"/>
              </w:rPr>
              <w:t xml:space="preserve">declining in the Northern Territory (down by </w:t>
            </w:r>
            <w:r w:rsidR="005E5C1C" w:rsidRPr="005E5C1C">
              <w:rPr>
                <w:sz w:val="20"/>
                <w:szCs w:val="20"/>
              </w:rPr>
              <w:t>2.4</w:t>
            </w:r>
            <w:r w:rsidRPr="005E5C1C">
              <w:rPr>
                <w:sz w:val="20"/>
                <w:szCs w:val="20"/>
              </w:rPr>
              <w:t>%).</w:t>
            </w:r>
          </w:p>
          <w:p w:rsidR="006A5700" w:rsidRPr="00073C5A" w:rsidRDefault="006A5700" w:rsidP="006A5700">
            <w:pPr>
              <w:pStyle w:val="Heading3"/>
              <w:spacing w:before="60" w:line="240" w:lineRule="auto"/>
              <w:contextualSpacing/>
            </w:pPr>
            <w:r w:rsidRPr="00073C5A">
              <w:t>Monthly Change</w:t>
            </w:r>
          </w:p>
          <w:p w:rsidR="006A5700" w:rsidRPr="00D9036A" w:rsidRDefault="006A5700" w:rsidP="006A5700">
            <w:pPr>
              <w:pStyle w:val="ListParagraph"/>
              <w:numPr>
                <w:ilvl w:val="0"/>
                <w:numId w:val="1"/>
              </w:numPr>
              <w:spacing w:after="0" w:line="240" w:lineRule="auto"/>
              <w:ind w:left="357" w:hanging="357"/>
              <w:rPr>
                <w:sz w:val="20"/>
                <w:szCs w:val="20"/>
              </w:rPr>
            </w:pPr>
            <w:r w:rsidRPr="00D9036A">
              <w:rPr>
                <w:sz w:val="20"/>
                <w:szCs w:val="20"/>
              </w:rPr>
              <w:t xml:space="preserve">Vacancies </w:t>
            </w:r>
            <w:r w:rsidR="005E5C1C" w:rsidRPr="00D9036A">
              <w:rPr>
                <w:sz w:val="20"/>
                <w:szCs w:val="20"/>
              </w:rPr>
              <w:t>declined by 1.0</w:t>
            </w:r>
            <w:r w:rsidR="00D126B2" w:rsidRPr="00D9036A">
              <w:rPr>
                <w:sz w:val="20"/>
                <w:szCs w:val="20"/>
              </w:rPr>
              <w:t>%</w:t>
            </w:r>
            <w:r w:rsidRPr="00D9036A">
              <w:rPr>
                <w:sz w:val="20"/>
                <w:szCs w:val="20"/>
              </w:rPr>
              <w:t xml:space="preserve"> over the month.</w:t>
            </w:r>
          </w:p>
          <w:p w:rsidR="006A5700" w:rsidRPr="00D9036A" w:rsidRDefault="005F084A" w:rsidP="006A5700">
            <w:pPr>
              <w:pStyle w:val="ListParagraph"/>
              <w:numPr>
                <w:ilvl w:val="0"/>
                <w:numId w:val="1"/>
              </w:numPr>
              <w:spacing w:after="0" w:line="240" w:lineRule="auto"/>
              <w:ind w:left="357" w:hanging="357"/>
              <w:rPr>
                <w:sz w:val="20"/>
                <w:szCs w:val="20"/>
              </w:rPr>
            </w:pPr>
            <w:r w:rsidRPr="00D9036A">
              <w:rPr>
                <w:sz w:val="20"/>
                <w:szCs w:val="20"/>
              </w:rPr>
              <w:t>De</w:t>
            </w:r>
            <w:r w:rsidR="006A5700" w:rsidRPr="00D9036A">
              <w:rPr>
                <w:sz w:val="20"/>
                <w:szCs w:val="20"/>
              </w:rPr>
              <w:t xml:space="preserve">creased in </w:t>
            </w:r>
            <w:r w:rsidR="005E5C1C" w:rsidRPr="00D9036A">
              <w:rPr>
                <w:sz w:val="20"/>
                <w:szCs w:val="20"/>
              </w:rPr>
              <w:t xml:space="preserve">six of the </w:t>
            </w:r>
            <w:r w:rsidR="006A5700" w:rsidRPr="00D9036A">
              <w:rPr>
                <w:sz w:val="20"/>
                <w:szCs w:val="20"/>
              </w:rPr>
              <w:t>eight occupational groups</w:t>
            </w:r>
            <w:r w:rsidR="0068548C" w:rsidRPr="00D9036A">
              <w:rPr>
                <w:sz w:val="20"/>
                <w:szCs w:val="20"/>
              </w:rPr>
              <w:t>, with the largest fall</w:t>
            </w:r>
            <w:r w:rsidR="00D9036A" w:rsidRPr="00D9036A">
              <w:rPr>
                <w:sz w:val="20"/>
                <w:szCs w:val="20"/>
              </w:rPr>
              <w:t>s recorded</w:t>
            </w:r>
            <w:r w:rsidR="0068548C" w:rsidRPr="00D9036A">
              <w:rPr>
                <w:sz w:val="20"/>
                <w:szCs w:val="20"/>
              </w:rPr>
              <w:t xml:space="preserve"> for </w:t>
            </w:r>
            <w:r w:rsidR="00D126B2" w:rsidRPr="00D9036A">
              <w:rPr>
                <w:sz w:val="20"/>
                <w:szCs w:val="20"/>
              </w:rPr>
              <w:t>Managers</w:t>
            </w:r>
            <w:r w:rsidR="0068548C" w:rsidRPr="00D9036A">
              <w:rPr>
                <w:sz w:val="20"/>
                <w:szCs w:val="20"/>
              </w:rPr>
              <w:t xml:space="preserve"> (down by </w:t>
            </w:r>
            <w:r w:rsidR="00D9036A" w:rsidRPr="00D9036A">
              <w:rPr>
                <w:sz w:val="20"/>
                <w:szCs w:val="20"/>
              </w:rPr>
              <w:t>1.4%) and Clerical and Administrative Workers (1.4%)</w:t>
            </w:r>
          </w:p>
          <w:p w:rsidR="00D126B2" w:rsidRPr="008B6E71" w:rsidRDefault="00D126B2" w:rsidP="00D126B2">
            <w:pPr>
              <w:pStyle w:val="ListParagraph"/>
              <w:numPr>
                <w:ilvl w:val="0"/>
                <w:numId w:val="1"/>
              </w:numPr>
              <w:spacing w:after="0" w:line="240" w:lineRule="auto"/>
              <w:ind w:left="357" w:hanging="357"/>
              <w:rPr>
                <w:sz w:val="20"/>
                <w:szCs w:val="20"/>
              </w:rPr>
            </w:pPr>
            <w:r w:rsidRPr="008B6E71">
              <w:rPr>
                <w:sz w:val="20"/>
                <w:szCs w:val="20"/>
              </w:rPr>
              <w:t>De</w:t>
            </w:r>
            <w:r w:rsidR="006A5700" w:rsidRPr="008B6E71">
              <w:rPr>
                <w:sz w:val="20"/>
                <w:szCs w:val="20"/>
              </w:rPr>
              <w:t xml:space="preserve">creased in </w:t>
            </w:r>
            <w:r w:rsidR="005E5C1C" w:rsidRPr="008B6E71">
              <w:rPr>
                <w:sz w:val="20"/>
                <w:szCs w:val="20"/>
              </w:rPr>
              <w:t xml:space="preserve">four </w:t>
            </w:r>
            <w:r w:rsidR="006A5700" w:rsidRPr="008B6E71">
              <w:rPr>
                <w:sz w:val="20"/>
                <w:szCs w:val="20"/>
              </w:rPr>
              <w:t xml:space="preserve">states and </w:t>
            </w:r>
            <w:r w:rsidR="00885495" w:rsidRPr="008B6E71">
              <w:rPr>
                <w:sz w:val="20"/>
                <w:szCs w:val="20"/>
              </w:rPr>
              <w:t xml:space="preserve">the </w:t>
            </w:r>
            <w:r w:rsidR="005E5C1C" w:rsidRPr="008B6E71">
              <w:rPr>
                <w:sz w:val="20"/>
                <w:szCs w:val="20"/>
              </w:rPr>
              <w:t>Australian Capital</w:t>
            </w:r>
            <w:r w:rsidR="00885495" w:rsidRPr="008B6E71">
              <w:rPr>
                <w:sz w:val="20"/>
                <w:szCs w:val="20"/>
              </w:rPr>
              <w:t xml:space="preserve"> Territory</w:t>
            </w:r>
            <w:r w:rsidR="00A27C49">
              <w:rPr>
                <w:sz w:val="20"/>
                <w:szCs w:val="20"/>
              </w:rPr>
              <w:t>, with</w:t>
            </w:r>
            <w:r w:rsidR="005E5C1C" w:rsidRPr="008B6E71">
              <w:rPr>
                <w:sz w:val="20"/>
                <w:szCs w:val="20"/>
              </w:rPr>
              <w:t xml:space="preserve"> Western Australia </w:t>
            </w:r>
            <w:r w:rsidR="00A27C49">
              <w:rPr>
                <w:sz w:val="20"/>
                <w:szCs w:val="20"/>
              </w:rPr>
              <w:t xml:space="preserve">recording the strongest decline </w:t>
            </w:r>
            <w:r w:rsidR="005E5C1C" w:rsidRPr="008B6E71">
              <w:rPr>
                <w:sz w:val="20"/>
                <w:szCs w:val="20"/>
              </w:rPr>
              <w:t>(down by 2.9%)</w:t>
            </w:r>
            <w:r w:rsidR="006A5700" w:rsidRPr="008B6E71">
              <w:rPr>
                <w:sz w:val="20"/>
                <w:szCs w:val="20"/>
              </w:rPr>
              <w:t>.</w:t>
            </w:r>
          </w:p>
          <w:p w:rsidR="006A5700" w:rsidRPr="0091191A" w:rsidRDefault="00D63185" w:rsidP="006A5700">
            <w:pPr>
              <w:pStyle w:val="ListParagraph"/>
              <w:spacing w:before="120" w:after="0" w:line="240" w:lineRule="auto"/>
              <w:ind w:left="0"/>
              <w:contextualSpacing w:val="0"/>
              <w:rPr>
                <w:b/>
                <w:sz w:val="20"/>
                <w:szCs w:val="20"/>
                <w:highlight w:val="yellow"/>
              </w:rPr>
            </w:pPr>
            <w:r w:rsidRPr="00D63185">
              <w:rPr>
                <w:b/>
              </w:rPr>
              <w:t>(152,6</w:t>
            </w:r>
            <w:r w:rsidR="006A5700" w:rsidRPr="00D63185">
              <w:rPr>
                <w:b/>
              </w:rPr>
              <w:t>00 vacancies)</w:t>
            </w:r>
          </w:p>
        </w:tc>
        <w:tc>
          <w:tcPr>
            <w:tcW w:w="5069" w:type="dxa"/>
            <w:shd w:val="clear" w:color="auto" w:fill="auto"/>
          </w:tcPr>
          <w:p w:rsidR="006A5700" w:rsidRPr="00073C5A" w:rsidRDefault="006A5700" w:rsidP="006A5700">
            <w:pPr>
              <w:pStyle w:val="Heading2"/>
              <w:spacing w:before="0" w:line="240" w:lineRule="auto"/>
              <w:contextualSpacing/>
              <w:rPr>
                <w:color w:val="00746B"/>
              </w:rPr>
            </w:pPr>
            <w:r w:rsidRPr="00073C5A">
              <w:rPr>
                <w:color w:val="00746B"/>
              </w:rPr>
              <w:t>Seasonally Adjusted Summary</w:t>
            </w:r>
          </w:p>
          <w:p w:rsidR="006A5700" w:rsidRPr="00073C5A" w:rsidRDefault="006A5700" w:rsidP="006A5700">
            <w:pPr>
              <w:pStyle w:val="Heading3"/>
              <w:spacing w:before="60" w:line="240" w:lineRule="auto"/>
              <w:contextualSpacing/>
            </w:pPr>
            <w:r w:rsidRPr="00073C5A">
              <w:t>Annual Change</w:t>
            </w:r>
          </w:p>
          <w:p w:rsidR="006A5700" w:rsidRPr="005E5C1C" w:rsidRDefault="006A5700" w:rsidP="006A5700">
            <w:pPr>
              <w:pStyle w:val="ListParagraph"/>
              <w:numPr>
                <w:ilvl w:val="0"/>
                <w:numId w:val="1"/>
              </w:numPr>
              <w:spacing w:after="0" w:line="240" w:lineRule="auto"/>
              <w:ind w:left="357" w:hanging="357"/>
              <w:rPr>
                <w:sz w:val="20"/>
                <w:szCs w:val="20"/>
              </w:rPr>
            </w:pPr>
            <w:r w:rsidRPr="005E5C1C">
              <w:rPr>
                <w:sz w:val="20"/>
                <w:szCs w:val="20"/>
              </w:rPr>
              <w:t xml:space="preserve">Increased by </w:t>
            </w:r>
            <w:r w:rsidR="005E5C1C" w:rsidRPr="005E5C1C">
              <w:rPr>
                <w:sz w:val="20"/>
                <w:szCs w:val="20"/>
              </w:rPr>
              <w:t>10.0</w:t>
            </w:r>
            <w:r w:rsidRPr="005E5C1C">
              <w:rPr>
                <w:sz w:val="20"/>
                <w:szCs w:val="20"/>
              </w:rPr>
              <w:t xml:space="preserve">% to </w:t>
            </w:r>
            <w:r w:rsidR="00D126B2" w:rsidRPr="005E5C1C">
              <w:rPr>
                <w:sz w:val="20"/>
                <w:szCs w:val="20"/>
              </w:rPr>
              <w:t>72.</w:t>
            </w:r>
            <w:r w:rsidR="005E5C1C" w:rsidRPr="005E5C1C">
              <w:rPr>
                <w:sz w:val="20"/>
                <w:szCs w:val="20"/>
              </w:rPr>
              <w:t>0</w:t>
            </w:r>
            <w:r w:rsidRPr="005E5C1C">
              <w:rPr>
                <w:sz w:val="20"/>
                <w:szCs w:val="20"/>
              </w:rPr>
              <w:t xml:space="preserve"> (Jan 2006 = 100).</w:t>
            </w:r>
          </w:p>
          <w:p w:rsidR="006A5700" w:rsidRPr="00D9036A" w:rsidRDefault="006A5700" w:rsidP="006A5700">
            <w:pPr>
              <w:pStyle w:val="ListParagraph"/>
              <w:numPr>
                <w:ilvl w:val="0"/>
                <w:numId w:val="1"/>
              </w:numPr>
              <w:spacing w:after="0" w:line="240" w:lineRule="auto"/>
              <w:ind w:left="357" w:hanging="357"/>
              <w:rPr>
                <w:sz w:val="20"/>
                <w:szCs w:val="20"/>
              </w:rPr>
            </w:pPr>
            <w:r w:rsidRPr="00D9036A">
              <w:rPr>
                <w:sz w:val="20"/>
                <w:szCs w:val="20"/>
              </w:rPr>
              <w:t>Increased in all eight occupational groups, with the</w:t>
            </w:r>
            <w:r w:rsidR="00D9036A" w:rsidRPr="00D9036A">
              <w:rPr>
                <w:sz w:val="20"/>
                <w:szCs w:val="20"/>
              </w:rPr>
              <w:t xml:space="preserve"> strongest rises recorded for Community and Personal Service Workers </w:t>
            </w:r>
            <w:r w:rsidRPr="00D9036A">
              <w:rPr>
                <w:sz w:val="20"/>
                <w:szCs w:val="20"/>
              </w:rPr>
              <w:t xml:space="preserve">(up by </w:t>
            </w:r>
            <w:r w:rsidR="00D9036A" w:rsidRPr="00D9036A">
              <w:rPr>
                <w:sz w:val="20"/>
                <w:szCs w:val="20"/>
              </w:rPr>
              <w:t>18.3</w:t>
            </w:r>
            <w:r w:rsidRPr="00D9036A">
              <w:rPr>
                <w:sz w:val="20"/>
                <w:szCs w:val="20"/>
              </w:rPr>
              <w:t xml:space="preserve">%) and </w:t>
            </w:r>
            <w:r w:rsidR="00D9036A" w:rsidRPr="00D9036A">
              <w:rPr>
                <w:sz w:val="20"/>
                <w:szCs w:val="20"/>
              </w:rPr>
              <w:t>Labourers</w:t>
            </w:r>
            <w:r w:rsidRPr="00D9036A">
              <w:rPr>
                <w:sz w:val="20"/>
                <w:szCs w:val="20"/>
              </w:rPr>
              <w:t xml:space="preserve"> (</w:t>
            </w:r>
            <w:r w:rsidR="00D9036A" w:rsidRPr="00D9036A">
              <w:rPr>
                <w:sz w:val="20"/>
                <w:szCs w:val="20"/>
              </w:rPr>
              <w:t>14.8</w:t>
            </w:r>
            <w:r w:rsidRPr="00D9036A">
              <w:rPr>
                <w:sz w:val="20"/>
                <w:szCs w:val="20"/>
              </w:rPr>
              <w:t>%).</w:t>
            </w:r>
          </w:p>
          <w:p w:rsidR="006A5700" w:rsidRPr="005E5C1C" w:rsidRDefault="006A5700" w:rsidP="006A5700">
            <w:pPr>
              <w:pStyle w:val="ListParagraph"/>
              <w:numPr>
                <w:ilvl w:val="0"/>
                <w:numId w:val="1"/>
              </w:numPr>
              <w:spacing w:after="0" w:line="240" w:lineRule="auto"/>
              <w:ind w:left="357" w:hanging="357"/>
              <w:rPr>
                <w:sz w:val="20"/>
                <w:szCs w:val="20"/>
              </w:rPr>
            </w:pPr>
            <w:r w:rsidRPr="005E5C1C">
              <w:rPr>
                <w:sz w:val="20"/>
                <w:szCs w:val="20"/>
              </w:rPr>
              <w:t xml:space="preserve">Increased in all states and </w:t>
            </w:r>
            <w:r w:rsidR="005E5C1C" w:rsidRPr="005E5C1C">
              <w:rPr>
                <w:sz w:val="20"/>
                <w:szCs w:val="20"/>
              </w:rPr>
              <w:t>both territories,</w:t>
            </w:r>
            <w:r w:rsidRPr="005E5C1C">
              <w:rPr>
                <w:sz w:val="20"/>
                <w:szCs w:val="20"/>
              </w:rPr>
              <w:t xml:space="preserve"> with </w:t>
            </w:r>
            <w:r w:rsidR="005E5C1C" w:rsidRPr="005E5C1C">
              <w:rPr>
                <w:sz w:val="20"/>
                <w:szCs w:val="20"/>
              </w:rPr>
              <w:t>the strongest rise</w:t>
            </w:r>
            <w:r w:rsidR="00A27C49">
              <w:rPr>
                <w:sz w:val="20"/>
                <w:szCs w:val="20"/>
              </w:rPr>
              <w:t xml:space="preserve"> being</w:t>
            </w:r>
            <w:r w:rsidR="005E5C1C" w:rsidRPr="005E5C1C">
              <w:rPr>
                <w:sz w:val="20"/>
                <w:szCs w:val="20"/>
              </w:rPr>
              <w:t xml:space="preserve"> in Tasmania (up by 16.9%)</w:t>
            </w:r>
            <w:r w:rsidRPr="005E5C1C">
              <w:rPr>
                <w:sz w:val="20"/>
                <w:szCs w:val="20"/>
              </w:rPr>
              <w:t>.</w:t>
            </w:r>
          </w:p>
          <w:p w:rsidR="00D9036A" w:rsidRDefault="00D9036A" w:rsidP="006A5700">
            <w:pPr>
              <w:pStyle w:val="Heading3"/>
              <w:spacing w:before="60" w:line="240" w:lineRule="auto"/>
              <w:contextualSpacing/>
            </w:pPr>
          </w:p>
          <w:p w:rsidR="006A5700" w:rsidRPr="00073C5A" w:rsidRDefault="006A5700" w:rsidP="006A5700">
            <w:pPr>
              <w:pStyle w:val="Heading3"/>
              <w:spacing w:before="60" w:line="240" w:lineRule="auto"/>
              <w:contextualSpacing/>
            </w:pPr>
            <w:r w:rsidRPr="00073C5A">
              <w:t>Monthly Change</w:t>
            </w:r>
          </w:p>
          <w:p w:rsidR="00D126B2" w:rsidRPr="005E5C1C" w:rsidRDefault="00D126B2" w:rsidP="00D126B2">
            <w:pPr>
              <w:pStyle w:val="ListParagraph"/>
              <w:numPr>
                <w:ilvl w:val="0"/>
                <w:numId w:val="1"/>
              </w:numPr>
              <w:spacing w:after="0" w:line="240" w:lineRule="auto"/>
              <w:ind w:left="357" w:hanging="357"/>
              <w:rPr>
                <w:sz w:val="20"/>
                <w:szCs w:val="20"/>
              </w:rPr>
            </w:pPr>
            <w:r w:rsidRPr="005E5C1C">
              <w:rPr>
                <w:sz w:val="20"/>
                <w:szCs w:val="20"/>
              </w:rPr>
              <w:t>Vacancies fell by 0.</w:t>
            </w:r>
            <w:r w:rsidR="005E5C1C" w:rsidRPr="005E5C1C">
              <w:rPr>
                <w:sz w:val="20"/>
                <w:szCs w:val="20"/>
              </w:rPr>
              <w:t>9</w:t>
            </w:r>
            <w:r w:rsidRPr="005E5C1C">
              <w:rPr>
                <w:sz w:val="20"/>
                <w:szCs w:val="20"/>
              </w:rPr>
              <w:t>% over the month.</w:t>
            </w:r>
          </w:p>
          <w:p w:rsidR="006A5700" w:rsidRPr="00D9036A" w:rsidRDefault="00A27C49" w:rsidP="006A5700">
            <w:pPr>
              <w:pStyle w:val="ListParagraph"/>
              <w:numPr>
                <w:ilvl w:val="0"/>
                <w:numId w:val="1"/>
              </w:numPr>
              <w:spacing w:after="0" w:line="240" w:lineRule="auto"/>
              <w:ind w:left="357" w:hanging="357"/>
              <w:rPr>
                <w:sz w:val="20"/>
                <w:szCs w:val="20"/>
              </w:rPr>
            </w:pPr>
            <w:r>
              <w:rPr>
                <w:sz w:val="20"/>
                <w:szCs w:val="20"/>
              </w:rPr>
              <w:t>In</w:t>
            </w:r>
            <w:r w:rsidR="006A5700" w:rsidRPr="00D9036A">
              <w:rPr>
                <w:sz w:val="20"/>
                <w:szCs w:val="20"/>
              </w:rPr>
              <w:t xml:space="preserve">creased in </w:t>
            </w:r>
            <w:r w:rsidR="008B6E71" w:rsidRPr="00D9036A">
              <w:rPr>
                <w:sz w:val="20"/>
                <w:szCs w:val="20"/>
              </w:rPr>
              <w:t>four</w:t>
            </w:r>
            <w:r w:rsidR="006A5700" w:rsidRPr="00D9036A">
              <w:rPr>
                <w:sz w:val="20"/>
                <w:szCs w:val="20"/>
              </w:rPr>
              <w:t xml:space="preserve"> of the eight occupational groups</w:t>
            </w:r>
            <w:r w:rsidR="00D9036A">
              <w:rPr>
                <w:sz w:val="20"/>
                <w:szCs w:val="20"/>
              </w:rPr>
              <w:t xml:space="preserve">, with the strongest </w:t>
            </w:r>
            <w:r>
              <w:rPr>
                <w:sz w:val="20"/>
                <w:szCs w:val="20"/>
              </w:rPr>
              <w:t>rise recorded for Community and Personal Service Workers (up by 4.0%).</w:t>
            </w:r>
          </w:p>
          <w:p w:rsidR="00885495" w:rsidRDefault="00D126B2" w:rsidP="005E5C1C">
            <w:pPr>
              <w:pStyle w:val="ListParagraph"/>
              <w:numPr>
                <w:ilvl w:val="0"/>
                <w:numId w:val="1"/>
              </w:numPr>
              <w:spacing w:after="0" w:line="240" w:lineRule="auto"/>
              <w:ind w:left="357" w:hanging="357"/>
              <w:rPr>
                <w:sz w:val="20"/>
                <w:szCs w:val="20"/>
              </w:rPr>
            </w:pPr>
            <w:r w:rsidRPr="008B6E71">
              <w:rPr>
                <w:sz w:val="20"/>
                <w:szCs w:val="20"/>
              </w:rPr>
              <w:t xml:space="preserve">Increased </w:t>
            </w:r>
            <w:r w:rsidR="006A5700" w:rsidRPr="008B6E71">
              <w:rPr>
                <w:sz w:val="20"/>
                <w:szCs w:val="20"/>
              </w:rPr>
              <w:t xml:space="preserve">in </w:t>
            </w:r>
            <w:r w:rsidR="008B6E71" w:rsidRPr="008B6E71">
              <w:rPr>
                <w:sz w:val="20"/>
                <w:szCs w:val="20"/>
              </w:rPr>
              <w:t>four</w:t>
            </w:r>
            <w:r w:rsidRPr="008B6E71">
              <w:rPr>
                <w:sz w:val="20"/>
                <w:szCs w:val="20"/>
              </w:rPr>
              <w:t xml:space="preserve"> states and </w:t>
            </w:r>
            <w:r w:rsidR="008B6E71" w:rsidRPr="008B6E71">
              <w:rPr>
                <w:sz w:val="20"/>
                <w:szCs w:val="20"/>
              </w:rPr>
              <w:t>the Northern Territory</w:t>
            </w:r>
            <w:r w:rsidRPr="008B6E71">
              <w:rPr>
                <w:sz w:val="20"/>
                <w:szCs w:val="20"/>
              </w:rPr>
              <w:t>, with the strongest rise</w:t>
            </w:r>
            <w:r w:rsidR="00A27C49">
              <w:rPr>
                <w:sz w:val="20"/>
                <w:szCs w:val="20"/>
              </w:rPr>
              <w:t xml:space="preserve"> being</w:t>
            </w:r>
            <w:r w:rsidRPr="008B6E71">
              <w:rPr>
                <w:sz w:val="20"/>
                <w:szCs w:val="20"/>
              </w:rPr>
              <w:t xml:space="preserve"> in </w:t>
            </w:r>
            <w:r w:rsidR="008B6E71" w:rsidRPr="008B6E71">
              <w:rPr>
                <w:sz w:val="20"/>
                <w:szCs w:val="20"/>
              </w:rPr>
              <w:t>Tasmania</w:t>
            </w:r>
            <w:r w:rsidRPr="008B6E71">
              <w:rPr>
                <w:sz w:val="20"/>
                <w:szCs w:val="20"/>
              </w:rPr>
              <w:t xml:space="preserve"> (up by </w:t>
            </w:r>
            <w:r w:rsidR="008B6E71" w:rsidRPr="008B6E71">
              <w:rPr>
                <w:sz w:val="20"/>
                <w:szCs w:val="20"/>
              </w:rPr>
              <w:t>2.7</w:t>
            </w:r>
            <w:r w:rsidRPr="008B6E71">
              <w:rPr>
                <w:sz w:val="20"/>
                <w:szCs w:val="20"/>
              </w:rPr>
              <w:t>%).</w:t>
            </w:r>
          </w:p>
          <w:p w:rsidR="00D9036A" w:rsidRPr="00D9036A" w:rsidRDefault="00D9036A" w:rsidP="00D9036A">
            <w:pPr>
              <w:spacing w:after="0" w:line="240" w:lineRule="auto"/>
              <w:rPr>
                <w:sz w:val="20"/>
                <w:szCs w:val="20"/>
              </w:rPr>
            </w:pPr>
          </w:p>
          <w:p w:rsidR="006A5700" w:rsidRPr="0091191A" w:rsidRDefault="0077104A" w:rsidP="00D63185">
            <w:pPr>
              <w:pStyle w:val="ListParagraph"/>
              <w:spacing w:before="120" w:after="0" w:line="240" w:lineRule="auto"/>
              <w:ind w:left="0"/>
              <w:contextualSpacing w:val="0"/>
              <w:rPr>
                <w:b/>
                <w:highlight w:val="yellow"/>
              </w:rPr>
            </w:pPr>
            <w:r w:rsidRPr="00D63185">
              <w:rPr>
                <w:b/>
              </w:rPr>
              <w:t>(15</w:t>
            </w:r>
            <w:r w:rsidR="00D63185" w:rsidRPr="00D63185">
              <w:rPr>
                <w:b/>
              </w:rPr>
              <w:t>2</w:t>
            </w:r>
            <w:r w:rsidRPr="00D63185">
              <w:rPr>
                <w:b/>
              </w:rPr>
              <w:t>,</w:t>
            </w:r>
            <w:r w:rsidR="00D63185" w:rsidRPr="00D63185">
              <w:rPr>
                <w:b/>
              </w:rPr>
              <w:t>7</w:t>
            </w:r>
            <w:r w:rsidR="006A5700" w:rsidRPr="00D63185">
              <w:rPr>
                <w:b/>
              </w:rPr>
              <w:t>00 vacancies)</w:t>
            </w:r>
          </w:p>
        </w:tc>
      </w:tr>
    </w:tbl>
    <w:p w:rsidR="00930C49" w:rsidRPr="005B3109" w:rsidRDefault="00930C49" w:rsidP="008F143E">
      <w:pPr>
        <w:pStyle w:val="Heading3"/>
        <w:spacing w:before="180" w:line="240" w:lineRule="auto"/>
        <w:jc w:val="center"/>
        <w:rPr>
          <w:color w:val="00746B"/>
        </w:rPr>
      </w:pPr>
      <w:r w:rsidRPr="005B3109">
        <w:rPr>
          <w:color w:val="00746B"/>
        </w:rPr>
        <w:t>Internet Vacancy Index and Skilled Internet Vacancy Index (January 2006 = 100)</w:t>
      </w:r>
    </w:p>
    <w:p w:rsidR="00930C49" w:rsidRPr="0091191A" w:rsidRDefault="005B3109" w:rsidP="008E4AB0">
      <w:pPr>
        <w:spacing w:after="0" w:line="240" w:lineRule="auto"/>
        <w:jc w:val="center"/>
        <w:rPr>
          <w:highlight w:val="yellow"/>
        </w:rPr>
      </w:pPr>
      <w:r w:rsidRPr="005B3109">
        <w:rPr>
          <w:noProof/>
          <w:lang w:eastAsia="en-AU"/>
        </w:rPr>
        <w:drawing>
          <wp:inline distT="0" distB="0" distL="0" distR="0" wp14:anchorId="23674CAA" wp14:editId="4CF4DD64">
            <wp:extent cx="5208529" cy="3424686"/>
            <wp:effectExtent l="0" t="0" r="0" b="4445"/>
            <wp:docPr id="3" name="Picture 3" descr="Graphic representation of the Interenet Vacancy Index in seasonally adjusted and trend terms, and then Skilled Interent Vacancy Index (in trend terms), indexed to January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398" b="2195"/>
                    <a:stretch/>
                  </pic:blipFill>
                  <pic:spPr bwMode="auto">
                    <a:xfrm>
                      <a:off x="0" y="0"/>
                      <a:ext cx="5227545" cy="3437190"/>
                    </a:xfrm>
                    <a:prstGeom prst="rect">
                      <a:avLst/>
                    </a:prstGeom>
                    <a:noFill/>
                    <a:ln>
                      <a:noFill/>
                    </a:ln>
                    <a:extLst>
                      <a:ext uri="{53640926-AAD7-44D8-BBD7-CCE9431645EC}">
                        <a14:shadowObscured xmlns:a14="http://schemas.microsoft.com/office/drawing/2010/main"/>
                      </a:ext>
                    </a:extLst>
                  </pic:spPr>
                </pic:pic>
              </a:graphicData>
            </a:graphic>
          </wp:inline>
        </w:drawing>
      </w:r>
    </w:p>
    <w:p w:rsidR="00930C49" w:rsidRPr="005B3109" w:rsidRDefault="00930C49" w:rsidP="00930C49">
      <w:pPr>
        <w:pStyle w:val="Heading2"/>
        <w:rPr>
          <w:color w:val="00746B"/>
        </w:rPr>
      </w:pPr>
      <w:r w:rsidRPr="005B3109">
        <w:rPr>
          <w:color w:val="00746B"/>
        </w:rPr>
        <w:lastRenderedPageBreak/>
        <w:t>Internet Vacancy Index – Trend Series</w:t>
      </w:r>
    </w:p>
    <w:p w:rsidR="00B62292" w:rsidRPr="0091191A" w:rsidRDefault="00A15233" w:rsidP="00B62292">
      <w:pPr>
        <w:spacing w:after="120" w:line="240" w:lineRule="auto"/>
        <w:jc w:val="both"/>
        <w:rPr>
          <w:highlight w:val="yellow"/>
        </w:rPr>
      </w:pPr>
      <w:r w:rsidRPr="008B6E71">
        <w:t xml:space="preserve">In trend terms, the IVI </w:t>
      </w:r>
      <w:r w:rsidR="00885495" w:rsidRPr="008B6E71">
        <w:t xml:space="preserve">declined by </w:t>
      </w:r>
      <w:r w:rsidR="008B6E71" w:rsidRPr="008B6E71">
        <w:t>1.0</w:t>
      </w:r>
      <w:r w:rsidR="00885495" w:rsidRPr="008B6E71">
        <w:t>%</w:t>
      </w:r>
      <w:r w:rsidR="006A5700" w:rsidRPr="008B6E71">
        <w:t xml:space="preserve"> in</w:t>
      </w:r>
      <w:r w:rsidR="00930C49" w:rsidRPr="008B6E71">
        <w:t xml:space="preserve"> </w:t>
      </w:r>
      <w:r w:rsidR="008B6E71" w:rsidRPr="008B6E71">
        <w:t>Decem</w:t>
      </w:r>
      <w:r w:rsidR="00885495" w:rsidRPr="008B6E71">
        <w:t>ber</w:t>
      </w:r>
      <w:r w:rsidR="006A5700" w:rsidRPr="008B6E71">
        <w:t xml:space="preserve"> 2014</w:t>
      </w:r>
      <w:r w:rsidR="00930C49" w:rsidRPr="008B6E71">
        <w:t xml:space="preserve">. Over the month, vacancies </w:t>
      </w:r>
      <w:r w:rsidR="00885495" w:rsidRPr="008B6E71">
        <w:t>de</w:t>
      </w:r>
      <w:r w:rsidRPr="008B6E71">
        <w:t>creased</w:t>
      </w:r>
      <w:r w:rsidR="00930C49" w:rsidRPr="008B6E71">
        <w:t xml:space="preserve"> </w:t>
      </w:r>
      <w:r w:rsidR="00D80EB0" w:rsidRPr="008B6E71">
        <w:t>in</w:t>
      </w:r>
      <w:r w:rsidR="00930C49" w:rsidRPr="008B6E71">
        <w:t xml:space="preserve"> </w:t>
      </w:r>
      <w:r w:rsidR="008B6E71" w:rsidRPr="008B6E71">
        <w:t>six of the</w:t>
      </w:r>
      <w:r w:rsidR="00930C49" w:rsidRPr="008B6E71">
        <w:t xml:space="preserve"> eight occupational groups</w:t>
      </w:r>
      <w:r w:rsidR="00D74CBD" w:rsidRPr="008B6E71">
        <w:t xml:space="preserve">, </w:t>
      </w:r>
      <w:r w:rsidR="00102A5C" w:rsidRPr="008B6E71">
        <w:t>and in</w:t>
      </w:r>
      <w:r w:rsidR="00E114BA" w:rsidRPr="008B6E71">
        <w:t xml:space="preserve"> </w:t>
      </w:r>
      <w:r w:rsidR="008B6E71" w:rsidRPr="008B6E71">
        <w:t>four states and the Australian Capital Territory.</w:t>
      </w:r>
    </w:p>
    <w:p w:rsidR="00182734" w:rsidRPr="0091191A" w:rsidRDefault="00930C49" w:rsidP="00487086">
      <w:pPr>
        <w:spacing w:after="120" w:line="240" w:lineRule="auto"/>
        <w:jc w:val="both"/>
        <w:rPr>
          <w:highlight w:val="yellow"/>
        </w:rPr>
      </w:pPr>
      <w:r w:rsidRPr="005E4661">
        <w:t xml:space="preserve">Over the year to </w:t>
      </w:r>
      <w:r w:rsidR="005E4661" w:rsidRPr="005E4661">
        <w:t>Dece</w:t>
      </w:r>
      <w:r w:rsidR="00B62292" w:rsidRPr="005E4661">
        <w:t>mbe</w:t>
      </w:r>
      <w:r w:rsidR="003A04A1" w:rsidRPr="005E4661">
        <w:t>r</w:t>
      </w:r>
      <w:r w:rsidRPr="005E4661">
        <w:t xml:space="preserve"> 2014, vacancies</w:t>
      </w:r>
      <w:r w:rsidR="00A15233" w:rsidRPr="005E4661">
        <w:t xml:space="preserve"> increased by </w:t>
      </w:r>
      <w:r w:rsidR="005E4661" w:rsidRPr="005E4661">
        <w:t>6.4</w:t>
      </w:r>
      <w:r w:rsidR="00A15233" w:rsidRPr="005E4661">
        <w:t>%</w:t>
      </w:r>
      <w:r w:rsidR="002328BE" w:rsidRPr="005E4661">
        <w:t>.</w:t>
      </w:r>
      <w:r w:rsidRPr="005E4661">
        <w:t xml:space="preserve"> The IVI </w:t>
      </w:r>
      <w:r w:rsidR="002328BE" w:rsidRPr="005E4661">
        <w:t>increased</w:t>
      </w:r>
      <w:r w:rsidRPr="005E4661">
        <w:t xml:space="preserve"> in </w:t>
      </w:r>
      <w:r w:rsidR="00D74CBD" w:rsidRPr="005E4661">
        <w:t xml:space="preserve">all </w:t>
      </w:r>
      <w:r w:rsidRPr="005E4661">
        <w:t xml:space="preserve">states and </w:t>
      </w:r>
      <w:r w:rsidR="002D1E37" w:rsidRPr="005E4661">
        <w:t>the Australian Capital Territory</w:t>
      </w:r>
      <w:r w:rsidRPr="005E4661">
        <w:t xml:space="preserve">, </w:t>
      </w:r>
      <w:r w:rsidR="00B7020F" w:rsidRPr="005E4661">
        <w:t xml:space="preserve">with vacancies </w:t>
      </w:r>
      <w:r w:rsidR="005273D7">
        <w:t xml:space="preserve">only </w:t>
      </w:r>
      <w:r w:rsidR="00B7020F" w:rsidRPr="005E4661">
        <w:t>declining in the Nor</w:t>
      </w:r>
      <w:r w:rsidR="00DA0CD0" w:rsidRPr="005E4661">
        <w:t>thern Territory (down by </w:t>
      </w:r>
      <w:r w:rsidR="005E4661" w:rsidRPr="005E4661">
        <w:t>2.4</w:t>
      </w:r>
      <w:r w:rsidR="00DA0CD0" w:rsidRPr="005E4661">
        <w:t xml:space="preserve">%). </w:t>
      </w:r>
      <w:r w:rsidR="00182734" w:rsidRPr="005E4661">
        <w:t xml:space="preserve">The strongest rises were recorded in the Australian Capital Territory (up by </w:t>
      </w:r>
      <w:r w:rsidR="005E4661" w:rsidRPr="005E4661">
        <w:t>16.6</w:t>
      </w:r>
      <w:r w:rsidR="00182734" w:rsidRPr="005E4661">
        <w:t>%</w:t>
      </w:r>
      <w:r w:rsidR="00487086" w:rsidRPr="005E4661">
        <w:t>, driven primarily by ICT occupations, including Software and Applications Programmers and ICT Support Technicians</w:t>
      </w:r>
      <w:r w:rsidR="00182734" w:rsidRPr="005E4661">
        <w:t>), New South Wales (</w:t>
      </w:r>
      <w:r w:rsidR="005E4661" w:rsidRPr="005E4661">
        <w:t>13.1</w:t>
      </w:r>
      <w:r w:rsidR="00C24C00">
        <w:t>%)</w:t>
      </w:r>
      <w:r w:rsidR="00182734" w:rsidRPr="005E4661">
        <w:t xml:space="preserve"> and </w:t>
      </w:r>
      <w:r w:rsidR="005E4661" w:rsidRPr="005E4661">
        <w:t>Tasmania</w:t>
      </w:r>
      <w:r w:rsidR="00182734" w:rsidRPr="005E4661">
        <w:t xml:space="preserve"> (</w:t>
      </w:r>
      <w:r w:rsidR="005E4661" w:rsidRPr="005E4661">
        <w:t>9.1</w:t>
      </w:r>
      <w:r w:rsidR="00182734" w:rsidRPr="005E4661">
        <w:t xml:space="preserve">%). </w:t>
      </w:r>
      <w:r w:rsidRPr="005E4661">
        <w:t xml:space="preserve">Vacancies </w:t>
      </w:r>
      <w:r w:rsidR="002435A0" w:rsidRPr="005E4661">
        <w:t xml:space="preserve">rose </w:t>
      </w:r>
      <w:r w:rsidRPr="005E4661">
        <w:t>across</w:t>
      </w:r>
      <w:r w:rsidR="002435A0" w:rsidRPr="005E4661">
        <w:t xml:space="preserve"> all</w:t>
      </w:r>
      <w:r w:rsidRPr="005E4661">
        <w:t xml:space="preserve"> eight occupational groups, with the strongest </w:t>
      </w:r>
      <w:r w:rsidR="00487086" w:rsidRPr="005E4661">
        <w:t xml:space="preserve">rise </w:t>
      </w:r>
      <w:r w:rsidRPr="005E4661">
        <w:t xml:space="preserve">recorded for </w:t>
      </w:r>
      <w:r w:rsidR="005E4661" w:rsidRPr="005E4661">
        <w:t>Community and Personal Service</w:t>
      </w:r>
      <w:r w:rsidR="00B62292" w:rsidRPr="005E4661">
        <w:t xml:space="preserve"> Workers </w:t>
      </w:r>
      <w:r w:rsidR="00945A99" w:rsidRPr="005E4661">
        <w:t>(</w:t>
      </w:r>
      <w:r w:rsidR="002435A0" w:rsidRPr="005E4661">
        <w:t xml:space="preserve">up by </w:t>
      </w:r>
      <w:r w:rsidR="005E4661" w:rsidRPr="005E4661">
        <w:t>15.7</w:t>
      </w:r>
      <w:r w:rsidR="00945A99" w:rsidRPr="005E4661">
        <w:t>%)</w:t>
      </w:r>
      <w:r w:rsidR="00487086" w:rsidRPr="005E4661">
        <w:t>, and the weakest rise recorded for Machinery Operators and Drivers (</w:t>
      </w:r>
      <w:r w:rsidR="005E4661" w:rsidRPr="005E4661">
        <w:t>0.7</w:t>
      </w:r>
      <w:r w:rsidR="00487086" w:rsidRPr="005E4661">
        <w:t>%)</w:t>
      </w:r>
      <w:r w:rsidR="00B22156" w:rsidRPr="005E4661">
        <w:t xml:space="preserve">. </w:t>
      </w:r>
      <w:r w:rsidRPr="005E4661">
        <w:t>Around 1</w:t>
      </w:r>
      <w:r w:rsidR="00604501" w:rsidRPr="005E4661">
        <w:t>5</w:t>
      </w:r>
      <w:r w:rsidR="005E4661" w:rsidRPr="005E4661">
        <w:t>2</w:t>
      </w:r>
      <w:r w:rsidRPr="005E4661">
        <w:t>,</w:t>
      </w:r>
      <w:r w:rsidR="005E4661" w:rsidRPr="005E4661">
        <w:t>6</w:t>
      </w:r>
      <w:r w:rsidRPr="005E4661">
        <w:t>00 newly lodged vacancies were advertised during</w:t>
      </w:r>
      <w:r w:rsidR="00D74CBD" w:rsidRPr="005E4661">
        <w:t xml:space="preserve"> </w:t>
      </w:r>
      <w:r w:rsidR="00372B10">
        <w:t>Dec</w:t>
      </w:r>
      <w:r w:rsidR="00B62292" w:rsidRPr="005E4661">
        <w:t>ember</w:t>
      </w:r>
      <w:r w:rsidRPr="005E4661">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91191A" w:rsidTr="007F669C">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Index (Jan '06 = 100)</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 xml:space="preserve">Monthly </w:t>
            </w:r>
            <w:r w:rsidRPr="004E49A4">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 xml:space="preserve">Yearly </w:t>
            </w:r>
            <w:r w:rsidRPr="004E49A4">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Number of vacancies</w:t>
            </w:r>
          </w:p>
        </w:tc>
      </w:tr>
      <w:tr w:rsidR="004E49A4" w:rsidRPr="0091191A" w:rsidTr="007F669C">
        <w:trPr>
          <w:trHeight w:val="225"/>
        </w:trPr>
        <w:tc>
          <w:tcPr>
            <w:tcW w:w="390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95.4</w:t>
            </w:r>
          </w:p>
        </w:tc>
        <w:tc>
          <w:tcPr>
            <w:tcW w:w="112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-1.4</w:t>
            </w:r>
          </w:p>
        </w:tc>
        <w:tc>
          <w:tcPr>
            <w:tcW w:w="112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4.0</w:t>
            </w:r>
          </w:p>
        </w:tc>
        <w:tc>
          <w:tcPr>
            <w:tcW w:w="1120" w:type="dxa"/>
            <w:tcBorders>
              <w:top w:val="single" w:sz="4" w:space="0" w:color="auto"/>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19,559</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81.6</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6.3</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39,032</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80.6</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8.4</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19,656</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98.1</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0.8</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15.7</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12,554</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64.9</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-1.4</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9.6</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26,899</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64.8</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15,187</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58.0</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7418</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Labourers</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43.4</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9.3</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12,611</w:t>
            </w:r>
          </w:p>
        </w:tc>
      </w:tr>
      <w:tr w:rsidR="004E49A4" w:rsidRPr="0091191A" w:rsidTr="00DB4259">
        <w:trPr>
          <w:trHeight w:val="225"/>
        </w:trPr>
        <w:tc>
          <w:tcPr>
            <w:tcW w:w="3900" w:type="dxa"/>
            <w:tcBorders>
              <w:top w:val="single" w:sz="4" w:space="0" w:color="auto"/>
              <w:left w:val="single" w:sz="4" w:space="0" w:color="auto"/>
              <w:bottom w:val="nil"/>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8F617B">
        <w:trPr>
          <w:trHeight w:val="70"/>
        </w:trPr>
        <w:tc>
          <w:tcPr>
            <w:tcW w:w="390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76.4</w:t>
            </w:r>
          </w:p>
        </w:tc>
        <w:tc>
          <w:tcPr>
            <w:tcW w:w="112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w:t>
            </w:r>
          </w:p>
        </w:tc>
        <w:tc>
          <w:tcPr>
            <w:tcW w:w="1120"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13.1</w:t>
            </w:r>
          </w:p>
        </w:tc>
        <w:tc>
          <w:tcPr>
            <w:tcW w:w="1120" w:type="dxa"/>
            <w:tcBorders>
              <w:top w:val="single" w:sz="4" w:space="0" w:color="auto"/>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55,912</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Victoria</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73.0</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-0.8</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6.7</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36,632</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Queensland</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58.0</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0.0</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2.3</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28,628</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54.9</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2.2</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7222</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91.2</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-2.9</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16,733</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Tasmania</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58.4</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9.1</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1670</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97.3</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1.4</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-2.4</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2387</w:t>
            </w:r>
          </w:p>
        </w:tc>
      </w:tr>
      <w:tr w:rsidR="004E49A4" w:rsidRPr="0091191A" w:rsidTr="007F669C">
        <w:trPr>
          <w:trHeight w:val="225"/>
        </w:trPr>
        <w:tc>
          <w:tcPr>
            <w:tcW w:w="39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113.2</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-0.8</w:t>
            </w:r>
          </w:p>
        </w:tc>
        <w:tc>
          <w:tcPr>
            <w:tcW w:w="112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16.6</w:t>
            </w:r>
          </w:p>
        </w:tc>
        <w:tc>
          <w:tcPr>
            <w:tcW w:w="1120"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3689</w:t>
            </w:r>
          </w:p>
        </w:tc>
      </w:tr>
      <w:tr w:rsidR="004E49A4" w:rsidRPr="0091191A" w:rsidTr="00DB4259">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71.8</w:t>
            </w:r>
          </w:p>
        </w:tc>
        <w:tc>
          <w:tcPr>
            <w:tcW w:w="112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-1.0</w:t>
            </w:r>
          </w:p>
        </w:tc>
        <w:tc>
          <w:tcPr>
            <w:tcW w:w="112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6.4</w:t>
            </w:r>
          </w:p>
        </w:tc>
        <w:tc>
          <w:tcPr>
            <w:tcW w:w="1120" w:type="dxa"/>
            <w:tcBorders>
              <w:top w:val="single" w:sz="4" w:space="0" w:color="auto"/>
              <w:left w:val="nil"/>
              <w:bottom w:val="single" w:sz="4" w:space="0" w:color="auto"/>
              <w:right w:val="single" w:sz="4" w:space="0" w:color="auto"/>
            </w:tcBorders>
            <w:shd w:val="clear" w:color="auto" w:fill="00746B"/>
            <w:noWrap/>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152,576</w:t>
            </w:r>
          </w:p>
        </w:tc>
      </w:tr>
    </w:tbl>
    <w:p w:rsidR="00930C49" w:rsidRPr="00073C5A" w:rsidRDefault="00930C49" w:rsidP="003B5B80">
      <w:pPr>
        <w:pStyle w:val="Heading2"/>
        <w:tabs>
          <w:tab w:val="left" w:pos="8235"/>
        </w:tabs>
        <w:spacing w:before="0"/>
        <w:rPr>
          <w:color w:val="00746B"/>
        </w:rPr>
      </w:pPr>
      <w:r w:rsidRPr="00073C5A">
        <w:rPr>
          <w:color w:val="00746B"/>
        </w:rPr>
        <w:t>Internet Vacancy Ind</w:t>
      </w:r>
      <w:r w:rsidR="00524C97" w:rsidRPr="00073C5A">
        <w:rPr>
          <w:color w:val="00746B"/>
        </w:rPr>
        <w:t>ex – Seasonally Adjusted Series</w:t>
      </w:r>
    </w:p>
    <w:p w:rsidR="00930C49" w:rsidRPr="0048417D" w:rsidRDefault="00930C49" w:rsidP="00930C49">
      <w:pPr>
        <w:spacing w:after="120" w:line="240" w:lineRule="auto"/>
        <w:jc w:val="both"/>
      </w:pPr>
      <w:r w:rsidRPr="00DB1C98">
        <w:t xml:space="preserve">In seasonally adjusted terms, the IVI </w:t>
      </w:r>
      <w:r w:rsidR="00823B00" w:rsidRPr="00DB1C98">
        <w:t>declined by 0.</w:t>
      </w:r>
      <w:r w:rsidR="008B6E71" w:rsidRPr="00DB1C98">
        <w:t>9</w:t>
      </w:r>
      <w:r w:rsidR="00823B00" w:rsidRPr="00DB1C98">
        <w:t>% in</w:t>
      </w:r>
      <w:r w:rsidRPr="00DB1C98">
        <w:t xml:space="preserve"> </w:t>
      </w:r>
      <w:r w:rsidR="008B6E71" w:rsidRPr="00DB1C98">
        <w:t>Decem</w:t>
      </w:r>
      <w:r w:rsidR="00823B00" w:rsidRPr="00DB1C98">
        <w:t>be</w:t>
      </w:r>
      <w:r w:rsidR="003A04A1" w:rsidRPr="00DB1C98">
        <w:t>r</w:t>
      </w:r>
      <w:r w:rsidR="002328BE" w:rsidRPr="00DB1C98">
        <w:t xml:space="preserve"> </w:t>
      </w:r>
      <w:r w:rsidRPr="00DB1C98">
        <w:t xml:space="preserve">2014. </w:t>
      </w:r>
      <w:r w:rsidR="00945A99" w:rsidRPr="00DB1C98">
        <w:t xml:space="preserve">Over the month, vacancies </w:t>
      </w:r>
      <w:r w:rsidR="00642DE4" w:rsidRPr="0048417D">
        <w:t>declined</w:t>
      </w:r>
      <w:r w:rsidR="00945A99" w:rsidRPr="0048417D">
        <w:t xml:space="preserve"> in </w:t>
      </w:r>
      <w:r w:rsidR="008B6E71" w:rsidRPr="0048417D">
        <w:t>four</w:t>
      </w:r>
      <w:r w:rsidR="00823B00" w:rsidRPr="0048417D">
        <w:t xml:space="preserve"> of the eight occupational groups</w:t>
      </w:r>
      <w:r w:rsidR="00DB1C98" w:rsidRPr="0048417D">
        <w:t>, and two states and the Australian Capital Territory.</w:t>
      </w:r>
    </w:p>
    <w:p w:rsidR="00930C49" w:rsidRPr="0048417D" w:rsidRDefault="00930C49" w:rsidP="00930C49">
      <w:pPr>
        <w:spacing w:after="120" w:line="240" w:lineRule="auto"/>
        <w:jc w:val="both"/>
      </w:pPr>
      <w:r w:rsidRPr="0048417D">
        <w:t>Over</w:t>
      </w:r>
      <w:r w:rsidRPr="0048417D">
        <w:rPr>
          <w:sz w:val="24"/>
        </w:rPr>
        <w:t xml:space="preserve"> </w:t>
      </w:r>
      <w:r w:rsidRPr="0048417D">
        <w:t xml:space="preserve">the year to </w:t>
      </w:r>
      <w:r w:rsidR="00DB1C98" w:rsidRPr="0048417D">
        <w:t>Dec</w:t>
      </w:r>
      <w:r w:rsidR="00A507DD" w:rsidRPr="0048417D">
        <w:t>em</w:t>
      </w:r>
      <w:r w:rsidR="00CD7DAC" w:rsidRPr="0048417D">
        <w:t>b</w:t>
      </w:r>
      <w:r w:rsidR="003A04A1" w:rsidRPr="0048417D">
        <w:t>er</w:t>
      </w:r>
      <w:r w:rsidR="00714A94" w:rsidRPr="0048417D">
        <w:t xml:space="preserve"> </w:t>
      </w:r>
      <w:r w:rsidR="002328BE" w:rsidRPr="0048417D">
        <w:t>2014, the IVI in</w:t>
      </w:r>
      <w:r w:rsidRPr="0048417D">
        <w:t xml:space="preserve">creased by </w:t>
      </w:r>
      <w:r w:rsidR="008B6E71" w:rsidRPr="0048417D">
        <w:t>10.0</w:t>
      </w:r>
      <w:r w:rsidRPr="0048417D">
        <w:t xml:space="preserve">%. Vacancies </w:t>
      </w:r>
      <w:r w:rsidR="002435A0" w:rsidRPr="0048417D">
        <w:t xml:space="preserve">rose </w:t>
      </w:r>
      <w:r w:rsidRPr="0048417D">
        <w:t xml:space="preserve">in </w:t>
      </w:r>
      <w:r w:rsidR="002435A0" w:rsidRPr="0048417D">
        <w:t xml:space="preserve">all </w:t>
      </w:r>
      <w:r w:rsidRPr="0048417D">
        <w:t>eight occupation</w:t>
      </w:r>
      <w:r w:rsidR="00381D63" w:rsidRPr="0048417D">
        <w:t>al</w:t>
      </w:r>
      <w:r w:rsidRPr="0048417D">
        <w:t xml:space="preserve"> groups, with the strongest </w:t>
      </w:r>
      <w:r w:rsidR="002435A0" w:rsidRPr="0048417D">
        <w:t>increase</w:t>
      </w:r>
      <w:r w:rsidRPr="0048417D">
        <w:t xml:space="preserve"> recorded for </w:t>
      </w:r>
      <w:r w:rsidR="008B6E71" w:rsidRPr="0048417D">
        <w:t>Community and Personal Service Workers</w:t>
      </w:r>
      <w:r w:rsidR="006A5700" w:rsidRPr="0048417D">
        <w:t xml:space="preserve"> (</w:t>
      </w:r>
      <w:r w:rsidR="008B6E71" w:rsidRPr="0048417D">
        <w:t>up by 18.3</w:t>
      </w:r>
      <w:r w:rsidR="006A5700" w:rsidRPr="0048417D">
        <w:t>%)</w:t>
      </w:r>
      <w:r w:rsidR="0048417D" w:rsidRPr="0048417D">
        <w:t>, and the weakest increase recorded for Sales Workers (1.3%)</w:t>
      </w:r>
      <w:r w:rsidR="00AA3C08" w:rsidRPr="0048417D">
        <w:t xml:space="preserve">. </w:t>
      </w:r>
      <w:r w:rsidR="00D74CBD" w:rsidRPr="0048417D">
        <w:t>Over the year, v</w:t>
      </w:r>
      <w:r w:rsidRPr="0048417D">
        <w:t xml:space="preserve">acancies </w:t>
      </w:r>
      <w:r w:rsidR="002435A0" w:rsidRPr="0048417D">
        <w:t>rose</w:t>
      </w:r>
      <w:r w:rsidRPr="0048417D">
        <w:t xml:space="preserve"> in </w:t>
      </w:r>
      <w:r w:rsidR="00960175" w:rsidRPr="0048417D">
        <w:t xml:space="preserve">all states </w:t>
      </w:r>
      <w:r w:rsidR="008B6E71" w:rsidRPr="0048417D">
        <w:t>and both territories</w:t>
      </w:r>
      <w:r w:rsidRPr="0048417D">
        <w:t xml:space="preserve">, </w:t>
      </w:r>
      <w:r w:rsidR="00A65894" w:rsidRPr="0048417D">
        <w:t xml:space="preserve">with </w:t>
      </w:r>
      <w:r w:rsidR="008B6E71" w:rsidRPr="0048417D">
        <w:t xml:space="preserve">the strongest increase in </w:t>
      </w:r>
      <w:r w:rsidR="002D1E37" w:rsidRPr="0048417D">
        <w:t xml:space="preserve">vacancies </w:t>
      </w:r>
      <w:r w:rsidR="00A27C49">
        <w:t xml:space="preserve">being </w:t>
      </w:r>
      <w:r w:rsidR="002D1E37" w:rsidRPr="0048417D">
        <w:t xml:space="preserve">in </w:t>
      </w:r>
      <w:r w:rsidR="008B6E71" w:rsidRPr="0048417D">
        <w:t>Tasmania</w:t>
      </w:r>
      <w:r w:rsidR="002D1E37" w:rsidRPr="0048417D">
        <w:t xml:space="preserve"> (</w:t>
      </w:r>
      <w:r w:rsidR="0048417D" w:rsidRPr="0048417D">
        <w:t xml:space="preserve">up </w:t>
      </w:r>
      <w:r w:rsidR="002D1E37" w:rsidRPr="0048417D">
        <w:t xml:space="preserve">by </w:t>
      </w:r>
      <w:r w:rsidR="008B6E71" w:rsidRPr="0048417D">
        <w:t>16.9</w:t>
      </w:r>
      <w:r w:rsidR="00A27C49">
        <w:t>%)</w:t>
      </w:r>
      <w:r w:rsidR="0048417D" w:rsidRPr="0048417D">
        <w:t>.</w:t>
      </w:r>
    </w:p>
    <w:tbl>
      <w:tblPr>
        <w:tblW w:w="8381" w:type="dxa"/>
        <w:jc w:val="center"/>
        <w:tblLook w:val="04E0" w:firstRow="1" w:lastRow="1" w:firstColumn="1" w:lastColumn="0" w:noHBand="0" w:noVBand="1"/>
      </w:tblPr>
      <w:tblGrid>
        <w:gridCol w:w="3987"/>
        <w:gridCol w:w="1134"/>
        <w:gridCol w:w="1134"/>
        <w:gridCol w:w="992"/>
        <w:gridCol w:w="1134"/>
      </w:tblGrid>
      <w:tr w:rsidR="005A11AF" w:rsidRPr="0091191A"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4E49A4"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4E49A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4E49A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4E49A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4E49A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Number of vacancies</w:t>
            </w:r>
          </w:p>
        </w:tc>
      </w:tr>
      <w:tr w:rsidR="004E49A4" w:rsidRPr="0091191A" w:rsidTr="007F669C">
        <w:trPr>
          <w:trHeight w:val="113"/>
          <w:jc w:val="center"/>
        </w:trPr>
        <w:tc>
          <w:tcPr>
            <w:tcW w:w="3987"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95.7</w:t>
            </w:r>
          </w:p>
        </w:tc>
        <w:tc>
          <w:tcPr>
            <w:tcW w:w="1134"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w:t>
            </w:r>
          </w:p>
        </w:tc>
        <w:tc>
          <w:tcPr>
            <w:tcW w:w="992" w:type="dxa"/>
            <w:tcBorders>
              <w:top w:val="single" w:sz="4" w:space="0" w:color="auto"/>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7.4</w:t>
            </w:r>
          </w:p>
        </w:tc>
        <w:tc>
          <w:tcPr>
            <w:tcW w:w="1134" w:type="dxa"/>
            <w:tcBorders>
              <w:top w:val="single" w:sz="4" w:space="0" w:color="auto"/>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19,537</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81.3</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10.9</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38,945</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82.7</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10.7</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19,811</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100.9</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4.0</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18.3</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12,702</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65.2</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-0.8</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11.6</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27,064</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65.3</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-0.7</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15,197</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59.8</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3.7</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7499</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44.0</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0.5</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14.8</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12,653</w:t>
            </w:r>
          </w:p>
        </w:tc>
      </w:tr>
      <w:tr w:rsidR="004E49A4" w:rsidRPr="0091191A"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992"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single" w:sz="4" w:space="0" w:color="auto"/>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76.7</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-0.6</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14.3</w:t>
            </w:r>
          </w:p>
        </w:tc>
        <w:tc>
          <w:tcPr>
            <w:tcW w:w="1134" w:type="dxa"/>
            <w:tcBorders>
              <w:top w:val="single" w:sz="4" w:space="0" w:color="auto"/>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55,911</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75.0</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0.7</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9.8</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37,006</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59.2</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2.0</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5.7</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29,400</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55.6</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0.8</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8.7</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7251</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92.1</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-3.4</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2.6</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16,672</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59.5</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2.7</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16.9</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1703</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94.0</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16.5</w:t>
            </w:r>
          </w:p>
        </w:tc>
        <w:tc>
          <w:tcPr>
            <w:tcW w:w="1134"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2407</w:t>
            </w:r>
          </w:p>
        </w:tc>
      </w:tr>
      <w:tr w:rsidR="004E49A4" w:rsidRPr="0091191A" w:rsidTr="007F669C">
        <w:trPr>
          <w:trHeight w:val="113"/>
          <w:jc w:val="center"/>
        </w:trPr>
        <w:tc>
          <w:tcPr>
            <w:tcW w:w="398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114.8</w:t>
            </w:r>
          </w:p>
        </w:tc>
        <w:tc>
          <w:tcPr>
            <w:tcW w:w="1134"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-4.6</w:t>
            </w:r>
          </w:p>
        </w:tc>
        <w:tc>
          <w:tcPr>
            <w:tcW w:w="992"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13.7</w:t>
            </w:r>
          </w:p>
        </w:tc>
        <w:tc>
          <w:tcPr>
            <w:tcW w:w="1134" w:type="dxa"/>
            <w:tcBorders>
              <w:top w:val="nil"/>
              <w:left w:val="single" w:sz="4" w:space="0" w:color="auto"/>
              <w:bottom w:val="single" w:sz="4" w:space="0" w:color="auto"/>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3619</w:t>
            </w:r>
          </w:p>
        </w:tc>
      </w:tr>
      <w:tr w:rsidR="004E49A4" w:rsidRPr="0091191A"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72.0</w:t>
            </w:r>
          </w:p>
        </w:tc>
        <w:tc>
          <w:tcPr>
            <w:tcW w:w="1134"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-0.9</w:t>
            </w:r>
          </w:p>
        </w:tc>
        <w:tc>
          <w:tcPr>
            <w:tcW w:w="992"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10.0</w:t>
            </w:r>
          </w:p>
        </w:tc>
        <w:tc>
          <w:tcPr>
            <w:tcW w:w="1134" w:type="dxa"/>
            <w:tcBorders>
              <w:top w:val="single" w:sz="4" w:space="0" w:color="auto"/>
              <w:left w:val="nil"/>
              <w:bottom w:val="single" w:sz="4" w:space="0" w:color="auto"/>
              <w:right w:val="single" w:sz="4" w:space="0" w:color="auto"/>
            </w:tcBorders>
            <w:shd w:val="clear" w:color="auto" w:fill="00746B"/>
            <w:noWrap/>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152,654</w:t>
            </w:r>
          </w:p>
        </w:tc>
      </w:tr>
    </w:tbl>
    <w:p w:rsidR="00930C49" w:rsidRPr="005B3109" w:rsidRDefault="00930C49" w:rsidP="00930C49">
      <w:pPr>
        <w:pStyle w:val="Heading2"/>
        <w:rPr>
          <w:color w:val="00746B"/>
        </w:rPr>
      </w:pPr>
      <w:r w:rsidRPr="0091191A">
        <w:rPr>
          <w:highlight w:val="yellow"/>
        </w:rPr>
        <w:br w:type="page"/>
      </w:r>
      <w:r w:rsidRPr="005B3109">
        <w:rPr>
          <w:color w:val="00746B"/>
        </w:rPr>
        <w:lastRenderedPageBreak/>
        <w:t>Skilled Internet Vacancy Index</w:t>
      </w:r>
    </w:p>
    <w:p w:rsidR="00930C49" w:rsidRPr="0091191A" w:rsidRDefault="00930C49" w:rsidP="00930C49">
      <w:pPr>
        <w:spacing w:after="120" w:line="240" w:lineRule="auto"/>
        <w:jc w:val="both"/>
        <w:rPr>
          <w:highlight w:val="yellow"/>
        </w:rPr>
      </w:pPr>
      <w:r w:rsidRPr="00141C4E">
        <w:t xml:space="preserve">The Skilled IVI </w:t>
      </w:r>
      <w:r w:rsidR="0058550C" w:rsidRPr="00141C4E">
        <w:t>declined</w:t>
      </w:r>
      <w:r w:rsidRPr="00141C4E">
        <w:t xml:space="preserve"> by </w:t>
      </w:r>
      <w:r w:rsidR="00141C4E" w:rsidRPr="00141C4E">
        <w:t>1.1</w:t>
      </w:r>
      <w:r w:rsidRPr="00141C4E">
        <w:t xml:space="preserve">% in </w:t>
      </w:r>
      <w:r w:rsidR="00141C4E" w:rsidRPr="00141C4E">
        <w:t>December</w:t>
      </w:r>
      <w:r w:rsidRPr="00141C4E">
        <w:t xml:space="preserve"> 2014, </w:t>
      </w:r>
      <w:r w:rsidR="002328BE" w:rsidRPr="00141C4E">
        <w:t xml:space="preserve">with vacancies </w:t>
      </w:r>
      <w:r w:rsidR="00F2192E" w:rsidRPr="00141C4E">
        <w:t>falling</w:t>
      </w:r>
      <w:r w:rsidR="00D63F4D" w:rsidRPr="00141C4E">
        <w:t xml:space="preserve"> </w:t>
      </w:r>
      <w:r w:rsidR="00D415EE" w:rsidRPr="00141C4E">
        <w:t>in 1</w:t>
      </w:r>
      <w:r w:rsidR="00141C4E" w:rsidRPr="00141C4E">
        <w:t>3</w:t>
      </w:r>
      <w:r w:rsidRPr="00141C4E">
        <w:t xml:space="preserve"> of the 20 Skilled IVI occupational groups over the month. </w:t>
      </w:r>
      <w:r w:rsidRPr="0048417D">
        <w:t xml:space="preserve">The strongest </w:t>
      </w:r>
      <w:r w:rsidR="00F2192E" w:rsidRPr="0048417D">
        <w:t>declines</w:t>
      </w:r>
      <w:r w:rsidRPr="0048417D">
        <w:t xml:space="preserve"> were recorded for</w:t>
      </w:r>
      <w:r w:rsidR="0048417D" w:rsidRPr="0048417D">
        <w:t xml:space="preserve"> Science Professionals and Veterinarians (down by 4.8%) and</w:t>
      </w:r>
      <w:r w:rsidRPr="0048417D">
        <w:t xml:space="preserve"> </w:t>
      </w:r>
      <w:r w:rsidR="00F2192E" w:rsidRPr="0048417D">
        <w:t>Engineers (</w:t>
      </w:r>
      <w:r w:rsidR="005A00AE" w:rsidRPr="0048417D">
        <w:t>3.</w:t>
      </w:r>
      <w:r w:rsidR="00C24C00">
        <w:t>3</w:t>
      </w:r>
      <w:r w:rsidR="00511D15" w:rsidRPr="0048417D">
        <w:t>%)</w:t>
      </w:r>
      <w:r w:rsidR="00F2192E" w:rsidRPr="0048417D">
        <w:t>, while the strongest increases were recorded for</w:t>
      </w:r>
      <w:r w:rsidRPr="0048417D">
        <w:t xml:space="preserve"> </w:t>
      </w:r>
      <w:r w:rsidR="005273D7" w:rsidRPr="00141C4E">
        <w:t>Transport and Design Professionals, and Architects</w:t>
      </w:r>
      <w:r w:rsidR="005273D7">
        <w:t xml:space="preserve"> (up by 1.6%) and </w:t>
      </w:r>
      <w:r w:rsidR="0048417D" w:rsidRPr="0048417D">
        <w:t>Construction Trades (</w:t>
      </w:r>
      <w:r w:rsidR="00C24C00">
        <w:t>0.9</w:t>
      </w:r>
      <w:r w:rsidR="0048417D" w:rsidRPr="0048417D">
        <w:t xml:space="preserve">%). </w:t>
      </w:r>
    </w:p>
    <w:p w:rsidR="00D415EE" w:rsidRPr="00141C4E" w:rsidRDefault="00930C49" w:rsidP="00930C49">
      <w:pPr>
        <w:spacing w:after="120" w:line="240" w:lineRule="auto"/>
        <w:jc w:val="both"/>
      </w:pPr>
      <w:r w:rsidRPr="00141C4E">
        <w:t xml:space="preserve">Over the year to </w:t>
      </w:r>
      <w:r w:rsidR="00141C4E" w:rsidRPr="00141C4E">
        <w:t>Dec</w:t>
      </w:r>
      <w:r w:rsidR="005A00AE" w:rsidRPr="00141C4E">
        <w:t>ember</w:t>
      </w:r>
      <w:r w:rsidRPr="00141C4E">
        <w:t xml:space="preserve"> 2014, the Skilled IVI has </w:t>
      </w:r>
      <w:r w:rsidR="002328BE" w:rsidRPr="00141C4E">
        <w:t>risen</w:t>
      </w:r>
      <w:r w:rsidRPr="00141C4E">
        <w:t xml:space="preserve"> by </w:t>
      </w:r>
      <w:r w:rsidR="00141C4E" w:rsidRPr="00141C4E">
        <w:t>6.6</w:t>
      </w:r>
      <w:r w:rsidRPr="00141C4E">
        <w:t xml:space="preserve">%, with vacancies </w:t>
      </w:r>
      <w:r w:rsidR="002328BE" w:rsidRPr="00141C4E">
        <w:t>increasing</w:t>
      </w:r>
      <w:r w:rsidRPr="00141C4E">
        <w:t xml:space="preserve"> in </w:t>
      </w:r>
      <w:r w:rsidR="00D63F4D" w:rsidRPr="00141C4E">
        <w:t>1</w:t>
      </w:r>
      <w:r w:rsidR="005273D7">
        <w:t>6</w:t>
      </w:r>
      <w:r w:rsidRPr="00141C4E">
        <w:t xml:space="preserve"> o</w:t>
      </w:r>
      <w:r w:rsidR="00221B8B" w:rsidRPr="00141C4E">
        <w:t>f the 20 </w:t>
      </w:r>
      <w:r w:rsidRPr="00141C4E">
        <w:t xml:space="preserve">occupational groups. </w:t>
      </w:r>
      <w:r w:rsidR="002328BE" w:rsidRPr="00141C4E">
        <w:t xml:space="preserve">The strongest increases were recorded for Construction Trades (up by </w:t>
      </w:r>
      <w:r w:rsidR="00141C4E" w:rsidRPr="00141C4E">
        <w:t>38.1</w:t>
      </w:r>
      <w:r w:rsidR="002328BE" w:rsidRPr="00141C4E">
        <w:t xml:space="preserve">%) and </w:t>
      </w:r>
      <w:r w:rsidR="00141C4E" w:rsidRPr="00141C4E">
        <w:t>Transport and Design Professionals, and Architects</w:t>
      </w:r>
      <w:r w:rsidR="00511D15" w:rsidRPr="00141C4E">
        <w:t xml:space="preserve"> </w:t>
      </w:r>
      <w:r w:rsidR="002328BE" w:rsidRPr="00141C4E">
        <w:t>(</w:t>
      </w:r>
      <w:r w:rsidR="00141C4E" w:rsidRPr="00141C4E">
        <w:t>27.1</w:t>
      </w:r>
      <w:r w:rsidR="00487086" w:rsidRPr="00141C4E">
        <w:t xml:space="preserve">%), </w:t>
      </w:r>
      <w:r w:rsidR="00141C4E" w:rsidRPr="00141C4E">
        <w:t>while the strongest</w:t>
      </w:r>
      <w:r w:rsidR="00487086" w:rsidRPr="00141C4E">
        <w:t xml:space="preserve"> decline</w:t>
      </w:r>
      <w:r w:rsidR="00141C4E" w:rsidRPr="00141C4E">
        <w:t>s</w:t>
      </w:r>
      <w:r w:rsidR="00487086" w:rsidRPr="00141C4E">
        <w:t xml:space="preserve"> </w:t>
      </w:r>
      <w:r w:rsidR="00141C4E" w:rsidRPr="00141C4E">
        <w:t xml:space="preserve">were </w:t>
      </w:r>
      <w:r w:rsidR="00487086" w:rsidRPr="00141C4E">
        <w:t>recorded for Engineers (down by </w:t>
      </w:r>
      <w:r w:rsidR="00141C4E" w:rsidRPr="00141C4E">
        <w:t>13.8%) and Science Professionals and Veterinarians (11.7%).</w:t>
      </w:r>
    </w:p>
    <w:tbl>
      <w:tblPr>
        <w:tblW w:w="9138" w:type="dxa"/>
        <w:jc w:val="center"/>
        <w:tblLook w:val="04E0" w:firstRow="1" w:lastRow="1" w:firstColumn="1" w:lastColumn="0" w:noHBand="0" w:noVBand="1"/>
      </w:tblPr>
      <w:tblGrid>
        <w:gridCol w:w="4753"/>
        <w:gridCol w:w="1207"/>
        <w:gridCol w:w="1000"/>
        <w:gridCol w:w="960"/>
        <w:gridCol w:w="1218"/>
      </w:tblGrid>
      <w:tr w:rsidR="00930C49" w:rsidRPr="0091191A" w:rsidTr="007F669C">
        <w:trPr>
          <w:trHeight w:val="510"/>
          <w:jc w:val="center"/>
        </w:trPr>
        <w:tc>
          <w:tcPr>
            <w:tcW w:w="4753" w:type="dxa"/>
            <w:tcBorders>
              <w:top w:val="single" w:sz="4" w:space="0" w:color="auto"/>
              <w:left w:val="single" w:sz="4" w:space="0" w:color="auto"/>
              <w:bottom w:val="single" w:sz="4" w:space="0" w:color="auto"/>
            </w:tcBorders>
            <w:shd w:val="clear" w:color="000000" w:fill="0F243E"/>
            <w:noWrap/>
            <w:vAlign w:val="center"/>
            <w:hideMark/>
          </w:tcPr>
          <w:p w:rsidR="00930C49" w:rsidRPr="004E49A4" w:rsidRDefault="00AA3C08" w:rsidP="004E49A4">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 xml:space="preserve">Skilled IVI – </w:t>
            </w:r>
            <w:r w:rsidR="004E49A4">
              <w:rPr>
                <w:rFonts w:cs="Calibri"/>
                <w:b/>
                <w:bCs/>
                <w:color w:val="FFFFFF"/>
                <w:sz w:val="18"/>
                <w:szCs w:val="18"/>
                <w:lang w:eastAsia="en-AU"/>
              </w:rPr>
              <w:t>Decem</w:t>
            </w:r>
            <w:r w:rsidR="008B4C65" w:rsidRPr="004E49A4">
              <w:rPr>
                <w:rFonts w:cs="Calibri"/>
                <w:b/>
                <w:bCs/>
                <w:color w:val="FFFFFF"/>
                <w:sz w:val="18"/>
                <w:szCs w:val="18"/>
                <w:lang w:eastAsia="en-AU"/>
              </w:rPr>
              <w:t>ber</w:t>
            </w:r>
            <w:r w:rsidR="00A25674" w:rsidRPr="004E49A4">
              <w:rPr>
                <w:rFonts w:cs="Calibri"/>
                <w:b/>
                <w:bCs/>
                <w:color w:val="FFFFFF"/>
                <w:sz w:val="18"/>
                <w:szCs w:val="18"/>
                <w:lang w:eastAsia="en-AU"/>
              </w:rPr>
              <w:t xml:space="preserve"> </w:t>
            </w:r>
            <w:r w:rsidR="00930C49" w:rsidRPr="004E49A4">
              <w:rPr>
                <w:rFonts w:cs="Calibri"/>
                <w:b/>
                <w:bCs/>
                <w:color w:val="FFFFFF"/>
                <w:sz w:val="18"/>
                <w:szCs w:val="18"/>
                <w:lang w:eastAsia="en-AU"/>
              </w:rPr>
              <w:t>2014</w:t>
            </w:r>
          </w:p>
        </w:tc>
        <w:tc>
          <w:tcPr>
            <w:tcW w:w="1207" w:type="dxa"/>
            <w:tcBorders>
              <w:top w:val="single" w:sz="4" w:space="0" w:color="auto"/>
              <w:left w:val="nil"/>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Index (Jan '06 = 100)</w:t>
            </w:r>
          </w:p>
        </w:tc>
        <w:tc>
          <w:tcPr>
            <w:tcW w:w="1000" w:type="dxa"/>
            <w:tcBorders>
              <w:top w:val="single" w:sz="4" w:space="0" w:color="auto"/>
              <w:left w:val="nil"/>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Monthly % change</w:t>
            </w:r>
          </w:p>
        </w:tc>
        <w:tc>
          <w:tcPr>
            <w:tcW w:w="960" w:type="dxa"/>
            <w:tcBorders>
              <w:top w:val="single" w:sz="4" w:space="0" w:color="auto"/>
              <w:left w:val="nil"/>
              <w:bottom w:val="single" w:sz="4" w:space="0" w:color="auto"/>
              <w:right w:val="nil"/>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 xml:space="preserve">Yearly </w:t>
            </w:r>
            <w:r w:rsidRPr="004E49A4">
              <w:rPr>
                <w:rFonts w:cs="Calibri"/>
                <w:b/>
                <w:bCs/>
                <w:color w:val="FFFFFF"/>
                <w:sz w:val="18"/>
                <w:szCs w:val="18"/>
                <w:lang w:eastAsia="en-AU"/>
              </w:rPr>
              <w:br/>
              <w:t>% change</w:t>
            </w:r>
          </w:p>
        </w:tc>
        <w:tc>
          <w:tcPr>
            <w:tcW w:w="1218" w:type="dxa"/>
            <w:tcBorders>
              <w:top w:val="single" w:sz="4" w:space="0" w:color="auto"/>
              <w:left w:val="nil"/>
              <w:bottom w:val="single" w:sz="4" w:space="0" w:color="auto"/>
              <w:right w:val="single" w:sz="4" w:space="0" w:color="auto"/>
            </w:tcBorders>
            <w:shd w:val="clear" w:color="000000" w:fill="0F243E"/>
            <w:vAlign w:val="center"/>
            <w:hideMark/>
          </w:tcPr>
          <w:p w:rsidR="00930C49" w:rsidRPr="004E49A4" w:rsidRDefault="00930C49" w:rsidP="007F669C">
            <w:pPr>
              <w:autoSpaceDE w:val="0"/>
              <w:autoSpaceDN w:val="0"/>
              <w:adjustRightInd w:val="0"/>
              <w:spacing w:after="0" w:line="240" w:lineRule="auto"/>
              <w:jc w:val="center"/>
              <w:rPr>
                <w:rFonts w:cs="Calibri"/>
                <w:b/>
                <w:bCs/>
                <w:color w:val="FFFFFF"/>
                <w:sz w:val="18"/>
                <w:szCs w:val="18"/>
                <w:lang w:eastAsia="en-AU"/>
              </w:rPr>
            </w:pPr>
            <w:r w:rsidRPr="004E49A4">
              <w:rPr>
                <w:rFonts w:cs="Calibri"/>
                <w:b/>
                <w:bCs/>
                <w:color w:val="FFFFFF"/>
                <w:sz w:val="18"/>
                <w:szCs w:val="18"/>
                <w:lang w:eastAsia="en-AU"/>
              </w:rPr>
              <w:t>Number of vacancies</w:t>
            </w:r>
          </w:p>
        </w:tc>
      </w:tr>
      <w:tr w:rsidR="004E49A4" w:rsidRPr="0091191A"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Professionals</w:t>
            </w:r>
          </w:p>
        </w:tc>
        <w:tc>
          <w:tcPr>
            <w:tcW w:w="1207"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81.6</w:t>
            </w:r>
          </w:p>
        </w:tc>
        <w:tc>
          <w:tcPr>
            <w:tcW w:w="100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6.3</w:t>
            </w:r>
          </w:p>
        </w:tc>
        <w:tc>
          <w:tcPr>
            <w:tcW w:w="1218" w:type="dxa"/>
            <w:tcBorders>
              <w:top w:val="single" w:sz="4" w:space="0" w:color="auto"/>
              <w:left w:val="nil"/>
              <w:bottom w:val="single" w:sz="4" w:space="0" w:color="auto"/>
              <w:right w:val="single" w:sz="4" w:space="0" w:color="auto"/>
            </w:tcBorders>
            <w:shd w:val="clear" w:color="auto" w:fill="00746B"/>
            <w:noWrap/>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39,032</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Arts and Media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77.6</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11.5</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740</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Education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102.6</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-0.7</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1328</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ICT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77.4</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8.7</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9016</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Legal, Social and Welfare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80.5</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15.2</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3545</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Business, Finance and Human Resource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58.5</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1.5</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8742</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Information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127.9</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8.0</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1685</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Sales, Marketing &amp; Public Relations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110.4</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3.6</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2730</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Transport and Design Professionals, and Architects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127.6</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27.1</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2196</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Engineers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46.7</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-3.3</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-13.8</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2163</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Science Professionals and Veterinarians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49.8</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-4.8</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-11.7</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423</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Health Diagnostic and Therapy Professionals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173.9</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3.6</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2315</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Medical Practitioners and Nurses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166.6</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26.5</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4369</w:t>
            </w:r>
          </w:p>
        </w:tc>
      </w:tr>
      <w:tr w:rsidR="004E49A4" w:rsidRPr="0091191A"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Technicians and Trades Workers</w:t>
            </w:r>
          </w:p>
        </w:tc>
        <w:tc>
          <w:tcPr>
            <w:tcW w:w="1207"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80.6</w:t>
            </w:r>
          </w:p>
        </w:tc>
        <w:tc>
          <w:tcPr>
            <w:tcW w:w="100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-1.0</w:t>
            </w:r>
          </w:p>
        </w:tc>
        <w:tc>
          <w:tcPr>
            <w:tcW w:w="96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8.4</w:t>
            </w:r>
          </w:p>
        </w:tc>
        <w:tc>
          <w:tcPr>
            <w:tcW w:w="1218" w:type="dxa"/>
            <w:tcBorders>
              <w:top w:val="nil"/>
              <w:left w:val="nil"/>
              <w:bottom w:val="single" w:sz="4" w:space="0" w:color="auto"/>
              <w:right w:val="single" w:sz="4" w:space="0" w:color="auto"/>
            </w:tcBorders>
            <w:shd w:val="clear" w:color="auto" w:fill="00746B"/>
            <w:noWrap/>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19,656</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Engineering, ICT and Science Technicians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83.5</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9.3</w:t>
            </w:r>
          </w:p>
        </w:tc>
        <w:tc>
          <w:tcPr>
            <w:tcW w:w="1218" w:type="dxa"/>
            <w:tcBorders>
              <w:top w:val="single" w:sz="4" w:space="0" w:color="auto"/>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4222</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Automotive and Engineering Trades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68.6</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-4.7</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4306</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Construction Trades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102.0</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38.1</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2874</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Electrotechnology and Telecommunications Trades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75.2</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3.7</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1841</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Food Trades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91.7</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7.7</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3904</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Skilled Animal and Horticultural Workers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70.8</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14.0</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745</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Hairdressers, Printing, Clothing and Wood Trades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76.7</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9.1</w:t>
            </w:r>
          </w:p>
        </w:tc>
        <w:tc>
          <w:tcPr>
            <w:tcW w:w="1218" w:type="dxa"/>
            <w:tcBorders>
              <w:top w:val="nil"/>
              <w:left w:val="single" w:sz="4" w:space="0" w:color="auto"/>
              <w:bottom w:val="nil"/>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1367</w:t>
            </w:r>
          </w:p>
        </w:tc>
      </w:tr>
      <w:tr w:rsidR="004E49A4" w:rsidRPr="0091191A" w:rsidTr="007F669C">
        <w:trPr>
          <w:trHeight w:val="225"/>
          <w:jc w:val="center"/>
        </w:trPr>
        <w:tc>
          <w:tcPr>
            <w:tcW w:w="4753"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Jewellers, Arts and Other Trades Workers</w:t>
            </w:r>
          </w:p>
        </w:tc>
        <w:tc>
          <w:tcPr>
            <w:tcW w:w="1207"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76.6</w:t>
            </w:r>
          </w:p>
        </w:tc>
        <w:tc>
          <w:tcPr>
            <w:tcW w:w="100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11.0</w:t>
            </w:r>
          </w:p>
        </w:tc>
        <w:tc>
          <w:tcPr>
            <w:tcW w:w="1218" w:type="dxa"/>
            <w:tcBorders>
              <w:top w:val="nil"/>
              <w:left w:val="single" w:sz="4" w:space="0" w:color="auto"/>
              <w:bottom w:val="single" w:sz="4" w:space="0" w:color="auto"/>
              <w:right w:val="single" w:sz="4" w:space="0" w:color="auto"/>
            </w:tcBorders>
            <w:shd w:val="clear" w:color="auto" w:fill="auto"/>
            <w:hideMark/>
          </w:tcPr>
          <w:p w:rsidR="004E49A4" w:rsidRPr="004E49A4"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4E49A4">
              <w:rPr>
                <w:rFonts w:ascii="Calibri" w:eastAsia="Times New Roman" w:hAnsi="Calibri" w:cs="Calibri"/>
                <w:color w:val="000000"/>
                <w:sz w:val="18"/>
                <w:szCs w:val="18"/>
                <w:lang w:eastAsia="en-AU"/>
              </w:rPr>
              <w:t>405</w:t>
            </w:r>
          </w:p>
        </w:tc>
      </w:tr>
      <w:tr w:rsidR="004E49A4" w:rsidRPr="0091191A"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Skilled IVI Total</w:t>
            </w:r>
          </w:p>
        </w:tc>
        <w:tc>
          <w:tcPr>
            <w:tcW w:w="1207"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80.8</w:t>
            </w:r>
          </w:p>
        </w:tc>
        <w:tc>
          <w:tcPr>
            <w:tcW w:w="100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-1.1</w:t>
            </w:r>
          </w:p>
        </w:tc>
        <w:tc>
          <w:tcPr>
            <w:tcW w:w="960" w:type="dxa"/>
            <w:tcBorders>
              <w:top w:val="single" w:sz="4" w:space="0" w:color="auto"/>
              <w:left w:val="nil"/>
              <w:bottom w:val="single" w:sz="4" w:space="0" w:color="auto"/>
              <w:right w:val="nil"/>
            </w:tcBorders>
            <w:shd w:val="clear" w:color="auto" w:fill="00746B"/>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6.6</w:t>
            </w:r>
          </w:p>
        </w:tc>
        <w:tc>
          <w:tcPr>
            <w:tcW w:w="1218" w:type="dxa"/>
            <w:tcBorders>
              <w:top w:val="single" w:sz="4" w:space="0" w:color="auto"/>
              <w:left w:val="nil"/>
              <w:bottom w:val="single" w:sz="4" w:space="0" w:color="auto"/>
              <w:right w:val="single" w:sz="4" w:space="0" w:color="auto"/>
            </w:tcBorders>
            <w:shd w:val="clear" w:color="auto" w:fill="00746B"/>
            <w:noWrap/>
            <w:hideMark/>
          </w:tcPr>
          <w:p w:rsidR="004E49A4" w:rsidRPr="004E49A4" w:rsidRDefault="004E49A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4E49A4">
              <w:rPr>
                <w:rFonts w:ascii="Calibri" w:eastAsia="Times New Roman" w:hAnsi="Calibri" w:cs="Calibri"/>
                <w:b/>
                <w:bCs/>
                <w:color w:val="FFFFFF"/>
                <w:sz w:val="18"/>
                <w:szCs w:val="18"/>
                <w:lang w:eastAsia="en-AU"/>
              </w:rPr>
              <w:t>58,614</w:t>
            </w:r>
          </w:p>
        </w:tc>
      </w:tr>
    </w:tbl>
    <w:p w:rsidR="00930C49" w:rsidRPr="0091191A" w:rsidRDefault="00930C49" w:rsidP="00930C49">
      <w:pPr>
        <w:spacing w:after="120" w:line="240" w:lineRule="auto"/>
        <w:jc w:val="both"/>
        <w:rPr>
          <w:highlight w:val="yellow"/>
        </w:rPr>
      </w:pPr>
    </w:p>
    <w:p w:rsidR="00930C49" w:rsidRPr="0091191A" w:rsidRDefault="00930C49" w:rsidP="00930C49">
      <w:pPr>
        <w:spacing w:after="120" w:line="240" w:lineRule="auto"/>
        <w:jc w:val="both"/>
        <w:rPr>
          <w:highlight w:val="yellow"/>
        </w:rPr>
      </w:pPr>
    </w:p>
    <w:p w:rsidR="00930C49" w:rsidRPr="005B3109" w:rsidRDefault="00930C49" w:rsidP="00930C49">
      <w:pPr>
        <w:pStyle w:val="Heading2"/>
        <w:rPr>
          <w:color w:val="00746B"/>
        </w:rPr>
      </w:pPr>
      <w:r w:rsidRPr="0091191A">
        <w:rPr>
          <w:highlight w:val="yellow"/>
        </w:rPr>
        <w:br w:type="page"/>
      </w:r>
      <w:r w:rsidRPr="005B3109">
        <w:rPr>
          <w:color w:val="00746B"/>
        </w:rPr>
        <w:lastRenderedPageBreak/>
        <w:t>Regional Internet Vacancy Index</w:t>
      </w:r>
    </w:p>
    <w:p w:rsidR="00930C49" w:rsidRPr="0091191A" w:rsidRDefault="00930C49" w:rsidP="00930C49">
      <w:pPr>
        <w:spacing w:after="120" w:line="240" w:lineRule="auto"/>
        <w:jc w:val="both"/>
        <w:rPr>
          <w:highlight w:val="yellow"/>
        </w:rPr>
      </w:pPr>
      <w:r w:rsidRPr="005E4661">
        <w:t xml:space="preserve">Over the year to </w:t>
      </w:r>
      <w:r w:rsidR="005E4661" w:rsidRPr="005E4661">
        <w:t>Decemb</w:t>
      </w:r>
      <w:r w:rsidR="006C0C48" w:rsidRPr="005E4661">
        <w:t>e</w:t>
      </w:r>
      <w:r w:rsidR="003A04A1" w:rsidRPr="005E4661">
        <w:t>r</w:t>
      </w:r>
      <w:r w:rsidRPr="005E4661">
        <w:t xml:space="preserve"> 2014, the number of online vacancies increased in </w:t>
      </w:r>
      <w:r w:rsidR="00FD22F5" w:rsidRPr="005E4661">
        <w:t>2</w:t>
      </w:r>
      <w:r w:rsidR="005E4661" w:rsidRPr="005E4661">
        <w:t>3</w:t>
      </w:r>
      <w:r w:rsidRPr="005E4661">
        <w:t xml:space="preserve"> of the 38 </w:t>
      </w:r>
      <w:r w:rsidR="005A11AF" w:rsidRPr="005E4661">
        <w:t xml:space="preserve">IVI </w:t>
      </w:r>
      <w:r w:rsidRPr="005E4661">
        <w:t xml:space="preserve">regions. </w:t>
      </w:r>
      <w:r w:rsidR="00B30EF6" w:rsidRPr="005E4661">
        <w:t>T</w:t>
      </w:r>
      <w:r w:rsidR="00125CB2" w:rsidRPr="005E4661">
        <w:rPr>
          <w:rFonts w:ascii="Calibri" w:hAnsi="Calibri" w:cs="Calibri"/>
          <w:shd w:val="clear" w:color="auto" w:fill="FFFFFF"/>
          <w:lang w:eastAsia="en-AU"/>
        </w:rPr>
        <w:t>h</w:t>
      </w:r>
      <w:r w:rsidRPr="005E4661">
        <w:t>e strongest increases w</w:t>
      </w:r>
      <w:r w:rsidR="00D415EE" w:rsidRPr="005E4661">
        <w:t>ere recorded in</w:t>
      </w:r>
      <w:r w:rsidRPr="005E4661">
        <w:t xml:space="preserve"> </w:t>
      </w:r>
      <w:r w:rsidR="005273D7">
        <w:t xml:space="preserve">Canberra &amp; the ACT (up by 20.8%), </w:t>
      </w:r>
      <w:r w:rsidR="00B30EF6" w:rsidRPr="005E4661">
        <w:t>South West WA (</w:t>
      </w:r>
      <w:r w:rsidR="005E4661" w:rsidRPr="005E4661">
        <w:t>18.9</w:t>
      </w:r>
      <w:r w:rsidR="00487086" w:rsidRPr="005E4661">
        <w:t xml:space="preserve">%) </w:t>
      </w:r>
      <w:r w:rsidR="006C0C48" w:rsidRPr="005E4661">
        <w:t xml:space="preserve">and </w:t>
      </w:r>
      <w:r w:rsidR="00E62879" w:rsidRPr="005E4661">
        <w:t>Sydney</w:t>
      </w:r>
      <w:r w:rsidR="007E0819" w:rsidRPr="005E4661">
        <w:t xml:space="preserve"> (</w:t>
      </w:r>
      <w:r w:rsidR="005E4661" w:rsidRPr="005E4661">
        <w:t>18.1</w:t>
      </w:r>
      <w:r w:rsidR="007E0819" w:rsidRPr="005E4661">
        <w:t>%)</w:t>
      </w:r>
      <w:r w:rsidRPr="005E4661">
        <w:t xml:space="preserve">, while the strongest falls were in </w:t>
      </w:r>
      <w:r w:rsidR="00C03571" w:rsidRPr="005E4661">
        <w:t>To</w:t>
      </w:r>
      <w:r w:rsidR="00DA0CD0" w:rsidRPr="005E4661">
        <w:t>owoomba &amp; South West QLD</w:t>
      </w:r>
      <w:r w:rsidR="001B12D4" w:rsidRPr="005E4661">
        <w:t xml:space="preserve"> </w:t>
      </w:r>
      <w:r w:rsidR="00DA0CD0" w:rsidRPr="005E4661">
        <w:t>(down </w:t>
      </w:r>
      <w:r w:rsidR="00C03571" w:rsidRPr="005E4661">
        <w:t xml:space="preserve">by </w:t>
      </w:r>
      <w:r w:rsidR="006C0C48" w:rsidRPr="005E4661">
        <w:t>24.</w:t>
      </w:r>
      <w:r w:rsidR="005E4661" w:rsidRPr="005E4661">
        <w:t>1</w:t>
      </w:r>
      <w:r w:rsidR="00C03571" w:rsidRPr="005E4661">
        <w:t>%) and Outback Queensland</w:t>
      </w:r>
      <w:r w:rsidR="0069550D" w:rsidRPr="005E4661">
        <w:t xml:space="preserve"> </w:t>
      </w:r>
      <w:r w:rsidR="00A15233" w:rsidRPr="005E4661">
        <w:t>(</w:t>
      </w:r>
      <w:r w:rsidR="005E4661" w:rsidRPr="005E4661">
        <w:t>24.0</w:t>
      </w:r>
      <w:r w:rsidR="00A15233" w:rsidRPr="005E4661">
        <w:t>%)</w:t>
      </w:r>
      <w:r w:rsidRPr="005E4661">
        <w:t>.</w:t>
      </w:r>
    </w:p>
    <w:p w:rsidR="00930C49" w:rsidRPr="0048417D" w:rsidRDefault="00930C49" w:rsidP="00930C49">
      <w:pPr>
        <w:pStyle w:val="Heading3"/>
        <w:ind w:left="720"/>
        <w:jc w:val="center"/>
        <w:rPr>
          <w:color w:val="1E3D6B"/>
        </w:rPr>
      </w:pPr>
      <w:r w:rsidRPr="00ED56C7">
        <w:rPr>
          <w:color w:val="1E3D6B"/>
        </w:rPr>
        <w:t xml:space="preserve">Change in internet vacancies over the year to </w:t>
      </w:r>
      <w:r w:rsidR="005B3109" w:rsidRPr="00ED56C7">
        <w:rPr>
          <w:color w:val="1E3D6B"/>
        </w:rPr>
        <w:t>Decem</w:t>
      </w:r>
      <w:r w:rsidR="008B4C65" w:rsidRPr="00ED56C7">
        <w:rPr>
          <w:color w:val="1E3D6B"/>
        </w:rPr>
        <w:t>b</w:t>
      </w:r>
      <w:r w:rsidR="003A04A1" w:rsidRPr="00ED56C7">
        <w:rPr>
          <w:color w:val="1E3D6B"/>
        </w:rPr>
        <w:t>er</w:t>
      </w:r>
      <w:r w:rsidR="00A25674" w:rsidRPr="00ED56C7">
        <w:rPr>
          <w:color w:val="1E3D6B"/>
        </w:rPr>
        <w:t xml:space="preserve"> </w:t>
      </w:r>
      <w:r w:rsidRPr="00ED56C7">
        <w:rPr>
          <w:color w:val="1E3D6B"/>
        </w:rPr>
        <w:t>2014</w:t>
      </w:r>
    </w:p>
    <w:p w:rsidR="00054DCF" w:rsidRPr="0091191A" w:rsidRDefault="00054DCF" w:rsidP="00054DCF">
      <w:pPr>
        <w:jc w:val="right"/>
        <w:rPr>
          <w:highlight w:val="yellow"/>
        </w:rPr>
      </w:pPr>
      <w:r>
        <w:rPr>
          <w:noProof/>
          <w:lang w:eastAsia="en-AU"/>
        </w:rPr>
        <w:drawing>
          <wp:inline distT="0" distB="0" distL="0" distR="0">
            <wp:extent cx="5319436" cy="4321834"/>
            <wp:effectExtent l="0" t="0" r="0" b="2540"/>
            <wp:docPr id="5" name="Picture 5" descr="This map shows the change in vacancies over the past year, by IVI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rotWithShape="1">
                    <a:blip r:embed="rId11">
                      <a:extLst>
                        <a:ext uri="{28A0092B-C50C-407E-A947-70E740481C1C}">
                          <a14:useLocalDpi xmlns:a14="http://schemas.microsoft.com/office/drawing/2010/main" val="0"/>
                        </a:ext>
                      </a:extLst>
                    </a:blip>
                    <a:srcRect l="10161" r="2820"/>
                    <a:stretch/>
                  </pic:blipFill>
                  <pic:spPr bwMode="auto">
                    <a:xfrm>
                      <a:off x="0" y="0"/>
                      <a:ext cx="5325659" cy="4326890"/>
                    </a:xfrm>
                    <a:prstGeom prst="rect">
                      <a:avLst/>
                    </a:prstGeom>
                    <a:ln>
                      <a:noFill/>
                    </a:ln>
                    <a:extLst>
                      <a:ext uri="{53640926-AAD7-44D8-BBD7-CCE9431645EC}">
                        <a14:shadowObscured xmlns:a14="http://schemas.microsoft.com/office/drawing/2010/main"/>
                      </a:ext>
                    </a:extLst>
                  </pic:spPr>
                </pic:pic>
              </a:graphicData>
            </a:graphic>
          </wp:inline>
        </w:drawing>
      </w:r>
    </w:p>
    <w:p w:rsidR="00965362" w:rsidRPr="00ED56C7" w:rsidRDefault="008A649E" w:rsidP="00930C49">
      <w:pPr>
        <w:spacing w:after="120" w:line="240" w:lineRule="auto"/>
        <w:jc w:val="both"/>
      </w:pPr>
      <w:r w:rsidRPr="00ED56C7">
        <w:t xml:space="preserve">Against the backdrop of </w:t>
      </w:r>
      <w:r w:rsidR="00965362" w:rsidRPr="00ED56C7">
        <w:t>softening condition</w:t>
      </w:r>
      <w:r w:rsidR="00A27C49">
        <w:t>s in mining related activities, the number of vacancies</w:t>
      </w:r>
      <w:r w:rsidR="00965362" w:rsidRPr="00ED56C7">
        <w:t xml:space="preserve"> in</w:t>
      </w:r>
      <w:r w:rsidR="00C24C00">
        <w:t xml:space="preserve"> some</w:t>
      </w:r>
      <w:r w:rsidR="00965362" w:rsidRPr="00ED56C7">
        <w:t xml:space="preserve"> regional areas of Western Australia, Queensland and the Northern Territory </w:t>
      </w:r>
      <w:r w:rsidRPr="00ED56C7">
        <w:t xml:space="preserve">continue to </w:t>
      </w:r>
      <w:r w:rsidR="00A27C49">
        <w:t>decline</w:t>
      </w:r>
      <w:r w:rsidR="00965362" w:rsidRPr="00ED56C7">
        <w:t xml:space="preserve">. </w:t>
      </w:r>
      <w:r w:rsidRPr="00ED56C7">
        <w:t xml:space="preserve">While </w:t>
      </w:r>
      <w:r w:rsidR="00267C86" w:rsidRPr="00ED56C7">
        <w:t xml:space="preserve">vacancies in Western Australia </w:t>
      </w:r>
      <w:r w:rsidR="00C24C00">
        <w:t>showed</w:t>
      </w:r>
      <w:r w:rsidR="00ED56C7" w:rsidRPr="00ED56C7">
        <w:t xml:space="preserve"> signs of stabilising throughout much of 2014</w:t>
      </w:r>
      <w:r w:rsidR="00B62292" w:rsidRPr="00ED56C7">
        <w:t>, vacanc</w:t>
      </w:r>
      <w:r w:rsidR="005E4661" w:rsidRPr="00ED56C7">
        <w:t>ies in the state declined by 2.9</w:t>
      </w:r>
      <w:r w:rsidR="00B62292" w:rsidRPr="00ED56C7">
        <w:t xml:space="preserve">% in trend terms in </w:t>
      </w:r>
      <w:r w:rsidR="005E4661" w:rsidRPr="00ED56C7">
        <w:t>Dec</w:t>
      </w:r>
      <w:r w:rsidR="00ED56C7" w:rsidRPr="00ED56C7">
        <w:t>ember 2014 (following a decline of 2.2% in November, in revised terms),</w:t>
      </w:r>
      <w:r w:rsidR="00B62292" w:rsidRPr="00ED56C7">
        <w:t xml:space="preserve"> indicating that that state cont</w:t>
      </w:r>
      <w:r w:rsidR="00182734" w:rsidRPr="00ED56C7">
        <w:t>inues to face ongoing headwinds.</w:t>
      </w:r>
      <w:r w:rsidRPr="00ED56C7">
        <w:t xml:space="preserve"> </w:t>
      </w:r>
    </w:p>
    <w:p w:rsidR="00B62292" w:rsidRPr="0091191A" w:rsidRDefault="00B62292">
      <w:pPr>
        <w:spacing w:after="0" w:line="240" w:lineRule="auto"/>
        <w:rPr>
          <w:rFonts w:cs="Arial"/>
          <w:b/>
          <w:color w:val="00746B"/>
          <w:sz w:val="26"/>
          <w:szCs w:val="28"/>
          <w:highlight w:val="yellow"/>
        </w:rPr>
      </w:pPr>
      <w:r w:rsidRPr="0091191A">
        <w:rPr>
          <w:bCs/>
          <w:iCs/>
          <w:color w:val="00746B"/>
          <w:highlight w:val="yellow"/>
        </w:rPr>
        <w:br w:type="page"/>
      </w:r>
    </w:p>
    <w:p w:rsidR="00930C49" w:rsidRPr="005B3109" w:rsidRDefault="00930C49" w:rsidP="00930C49">
      <w:pPr>
        <w:pStyle w:val="Heading2"/>
        <w:rPr>
          <w:bCs w:val="0"/>
          <w:iCs w:val="0"/>
          <w:color w:val="00746B"/>
        </w:rPr>
      </w:pPr>
      <w:r w:rsidRPr="005B3109">
        <w:rPr>
          <w:bCs w:val="0"/>
          <w:iCs w:val="0"/>
          <w:color w:val="00746B"/>
        </w:rPr>
        <w:lastRenderedPageBreak/>
        <w:t>Regional IVI –</w:t>
      </w:r>
      <w:r w:rsidR="00A27C49">
        <w:rPr>
          <w:bCs w:val="0"/>
          <w:iCs w:val="0"/>
          <w:color w:val="00746B"/>
        </w:rPr>
        <w:t xml:space="preserve"> December 2014</w:t>
      </w:r>
      <w:r w:rsidR="00A27C49" w:rsidRPr="005B3109">
        <w:rPr>
          <w:bCs w:val="0"/>
          <w:iCs w:val="0"/>
          <w:color w:val="00746B"/>
        </w:rPr>
        <w:t xml:space="preserve"> –</w:t>
      </w:r>
      <w:r w:rsidR="00A27C49">
        <w:rPr>
          <w:bCs w:val="0"/>
          <w:iCs w:val="0"/>
          <w:color w:val="00746B"/>
        </w:rPr>
        <w:t xml:space="preserve"> </w:t>
      </w:r>
      <w:r w:rsidRPr="005B3109">
        <w:rPr>
          <w:bCs w:val="0"/>
          <w:iCs w:val="0"/>
          <w:color w:val="00746B"/>
        </w:rPr>
        <w:t>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91191A"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5B3109" w:rsidRDefault="005A11AF" w:rsidP="005B3109">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Regional IVI – </w:t>
            </w:r>
            <w:r w:rsidR="005B3109">
              <w:rPr>
                <w:rFonts w:cs="Calibri"/>
                <w:b/>
                <w:bCs/>
                <w:color w:val="FFFFFF"/>
                <w:sz w:val="18"/>
                <w:szCs w:val="18"/>
                <w:lang w:eastAsia="en-AU"/>
              </w:rPr>
              <w:t>Decemb</w:t>
            </w:r>
            <w:r w:rsidR="003A04A1" w:rsidRPr="005B3109">
              <w:rPr>
                <w:rFonts w:cs="Calibri"/>
                <w:b/>
                <w:bCs/>
                <w:color w:val="FFFFFF"/>
                <w:sz w:val="18"/>
                <w:szCs w:val="18"/>
                <w:lang w:eastAsia="en-AU"/>
              </w:rPr>
              <w:t>er</w:t>
            </w:r>
            <w:r w:rsidR="00930C49" w:rsidRPr="005B3109">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Yearly </w:t>
            </w:r>
            <w:r w:rsidRPr="005B310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Number of vacancies</w:t>
            </w:r>
          </w:p>
        </w:tc>
      </w:tr>
      <w:tr w:rsidR="004E49A4" w:rsidRPr="00911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rsidP="007F669C">
            <w:pPr>
              <w:autoSpaceDE w:val="0"/>
              <w:autoSpaceDN w:val="0"/>
              <w:adjustRightInd w:val="0"/>
              <w:spacing w:after="0" w:line="240" w:lineRule="auto"/>
              <w:rPr>
                <w:rFonts w:cs="Calibri"/>
                <w:b/>
                <w:bCs/>
                <w:color w:val="FFFFFF"/>
                <w:sz w:val="18"/>
                <w:szCs w:val="18"/>
                <w:lang w:eastAsia="en-AU"/>
              </w:rPr>
            </w:pPr>
            <w:r w:rsidRPr="005B3109">
              <w:rPr>
                <w:rFonts w:cs="Calibri"/>
                <w:b/>
                <w:bCs/>
                <w:color w:val="FFFFFF"/>
                <w:sz w:val="18"/>
                <w:szCs w:val="18"/>
                <w:lang w:eastAsia="en-AU"/>
              </w:rPr>
              <w:t>New South Wales</w:t>
            </w:r>
          </w:p>
        </w:tc>
        <w:tc>
          <w:tcPr>
            <w:tcW w:w="1120" w:type="dxa"/>
            <w:tcBorders>
              <w:top w:val="single" w:sz="4" w:space="0" w:color="auto"/>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Bathurst &amp; Central West NSW</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39.1</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236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Blue Mountains</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171.2</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-3.2</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572</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Dubbo &amp; Western NSW</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98.5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535</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Gosford &amp; Central Coast</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106.8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890</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Illawarra &amp; South Coast</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115.7</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1196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NSW North Coast</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101.3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5.0</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1536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Newcastle &amp; Hunter</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72.8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0.4</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2366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Riverina &amp; Murray</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108.9</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8.4</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653</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Southern Highlands &amp; Snowy</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96.8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-0.9</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326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Sydney</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87.4</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18.1</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42,043</w:t>
            </w:r>
          </w:p>
        </w:tc>
      </w:tr>
      <w:tr w:rsidR="004E49A4" w:rsidRPr="00911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68.2</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-9.2</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555</w:t>
            </w:r>
          </w:p>
        </w:tc>
      </w:tr>
      <w:tr w:rsidR="004E49A4" w:rsidRPr="0091191A" w:rsidTr="00DB4259">
        <w:trPr>
          <w:trHeight w:val="226"/>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Victoria</w:t>
            </w: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Ballarat &amp; Central Highlands</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109.0</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389</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Bendigo &amp; High Country</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93.9</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1071</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Geelong &amp; Surf Coast</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97.6</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8.9</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1212</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Gippsland</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168.1</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-3.1</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932</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Melbourne</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77.8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9.5</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29,713</w:t>
            </w:r>
          </w:p>
        </w:tc>
      </w:tr>
      <w:tr w:rsidR="004E49A4" w:rsidRPr="00911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Wimmera &amp; Western</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89.5</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-1.4</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439</w:t>
            </w:r>
          </w:p>
        </w:tc>
      </w:tr>
      <w:tr w:rsidR="004E49A4" w:rsidRPr="00911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Queensland</w:t>
            </w: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DB4259">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Brisbane</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69.5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6.8</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15,513</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Central Queensland</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72.6</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-13.2</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1834</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Far North Queensland</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93.8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3244</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Gold Coast</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85.3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6.0</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3039</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Outback Queensland</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68.9</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-24.0</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206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Sunshine Coast</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113.3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1309</w:t>
            </w:r>
          </w:p>
        </w:tc>
      </w:tr>
      <w:tr w:rsidR="004E49A4" w:rsidRPr="00911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102.7</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-24.1</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1022</w:t>
            </w:r>
          </w:p>
        </w:tc>
      </w:tr>
      <w:tr w:rsidR="004E49A4" w:rsidRPr="00911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South Australia</w:t>
            </w: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Adelaide</w:t>
            </w:r>
          </w:p>
        </w:tc>
        <w:tc>
          <w:tcPr>
            <w:tcW w:w="112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60.2</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2.6</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5823</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Fleurieu Peninsula &amp; Murray Mallee</w:t>
            </w:r>
          </w:p>
        </w:tc>
        <w:tc>
          <w:tcPr>
            <w:tcW w:w="112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99.8</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406</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Port Augusta &amp; Eyre Peninsula</w:t>
            </w:r>
          </w:p>
        </w:tc>
        <w:tc>
          <w:tcPr>
            <w:tcW w:w="112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90.8</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244</w:t>
            </w:r>
          </w:p>
        </w:tc>
      </w:tr>
      <w:tr w:rsidR="004E49A4" w:rsidRPr="00911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Yorke Peninsula &amp; Clare Valley</w:t>
            </w:r>
          </w:p>
        </w:tc>
        <w:tc>
          <w:tcPr>
            <w:tcW w:w="112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81.7</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5.8</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115</w:t>
            </w:r>
          </w:p>
        </w:tc>
      </w:tr>
      <w:tr w:rsidR="004E49A4" w:rsidRPr="00911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Western Australia</w:t>
            </w: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Goldfields &amp; Southern WA</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171.8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1.6</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824</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Perth</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81.1</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8.6</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13,547</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Pilbara &amp; Kimberley</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257.2</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-13.8</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1330</w:t>
            </w:r>
          </w:p>
        </w:tc>
      </w:tr>
      <w:tr w:rsidR="004E49A4" w:rsidRPr="00911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South West WA</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81.1</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18.9</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653</w:t>
            </w:r>
          </w:p>
        </w:tc>
      </w:tr>
      <w:tr w:rsidR="004E49A4" w:rsidRPr="00911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Tasmania</w:t>
            </w: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Hobart &amp; Southeast Tasmania</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67.2</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9.2</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989</w:t>
            </w: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Launceston &amp; Northeast Tasmania</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94.5</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7.4</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326</w:t>
            </w:r>
          </w:p>
        </w:tc>
      </w:tr>
      <w:tr w:rsidR="004E49A4" w:rsidRPr="00911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North West Tasmania</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130.5</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-4.3</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268</w:t>
            </w:r>
          </w:p>
        </w:tc>
      </w:tr>
      <w:tr w:rsidR="004E49A4" w:rsidRPr="00911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Northern Territory</w:t>
            </w: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7F669C">
        <w:trPr>
          <w:trHeight w:val="225"/>
          <w:jc w:val="center"/>
        </w:trPr>
        <w:tc>
          <w:tcPr>
            <w:tcW w:w="3900" w:type="dxa"/>
            <w:tcBorders>
              <w:top w:val="nil"/>
              <w:left w:val="single" w:sz="4" w:space="0" w:color="auto"/>
              <w:bottom w:val="nil"/>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Darwin</w:t>
            </w:r>
          </w:p>
        </w:tc>
        <w:tc>
          <w:tcPr>
            <w:tcW w:w="1120" w:type="dxa"/>
            <w:tcBorders>
              <w:top w:val="nil"/>
              <w:left w:val="single" w:sz="4" w:space="0" w:color="auto"/>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68.3</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-4.4</w:t>
            </w:r>
          </w:p>
        </w:tc>
        <w:tc>
          <w:tcPr>
            <w:tcW w:w="1120" w:type="dxa"/>
            <w:tcBorders>
              <w:top w:val="nil"/>
              <w:left w:val="nil"/>
              <w:bottom w:val="nil"/>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1771</w:t>
            </w:r>
          </w:p>
        </w:tc>
      </w:tr>
      <w:tr w:rsidR="004E49A4" w:rsidRPr="0091191A" w:rsidTr="00535B26">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4E49A4" w:rsidRPr="005B3109" w:rsidRDefault="004E49A4">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42.8</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-12.4</w:t>
            </w:r>
          </w:p>
        </w:tc>
        <w:tc>
          <w:tcPr>
            <w:tcW w:w="1120" w:type="dxa"/>
            <w:tcBorders>
              <w:top w:val="nil"/>
              <w:left w:val="nil"/>
              <w:bottom w:val="single" w:sz="4" w:space="0" w:color="auto"/>
              <w:right w:val="single" w:sz="4" w:space="0" w:color="auto"/>
            </w:tcBorders>
            <w:shd w:val="clear" w:color="auto" w:fill="auto"/>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385</w:t>
            </w:r>
          </w:p>
        </w:tc>
      </w:tr>
      <w:tr w:rsidR="004E49A4" w:rsidRPr="0091191A" w:rsidTr="00535B26">
        <w:trPr>
          <w:trHeight w:val="225"/>
          <w:jc w:val="center"/>
        </w:trPr>
        <w:tc>
          <w:tcPr>
            <w:tcW w:w="3900" w:type="dxa"/>
            <w:tcBorders>
              <w:top w:val="single" w:sz="4" w:space="0" w:color="auto"/>
              <w:left w:val="single" w:sz="4" w:space="0" w:color="auto"/>
              <w:bottom w:val="single" w:sz="4" w:space="0" w:color="auto"/>
            </w:tcBorders>
            <w:shd w:val="clear" w:color="auto" w:fill="00746B"/>
            <w:noWrap/>
            <w:hideMark/>
          </w:tcPr>
          <w:p w:rsidR="004E49A4" w:rsidRPr="005B3109" w:rsidRDefault="004E49A4" w:rsidP="004A5746">
            <w:pPr>
              <w:autoSpaceDE w:val="0"/>
              <w:autoSpaceDN w:val="0"/>
              <w:adjustRightInd w:val="0"/>
              <w:spacing w:after="0" w:line="240" w:lineRule="auto"/>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Australian Capital Territory</w:t>
            </w:r>
          </w:p>
        </w:tc>
        <w:tc>
          <w:tcPr>
            <w:tcW w:w="1120" w:type="dxa"/>
            <w:tcBorders>
              <w:top w:val="single" w:sz="4" w:space="0" w:color="auto"/>
              <w:bottom w:val="single" w:sz="4" w:space="0" w:color="auto"/>
            </w:tcBorders>
            <w:shd w:val="clear" w:color="auto" w:fill="00746B"/>
            <w:noWrap/>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tcBorders>
            <w:shd w:val="clear" w:color="auto" w:fill="00746B"/>
            <w:noWrap/>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right w:val="single" w:sz="4" w:space="0" w:color="auto"/>
            </w:tcBorders>
            <w:shd w:val="clear" w:color="auto" w:fill="00746B"/>
            <w:noWrap/>
            <w:hideMark/>
          </w:tcPr>
          <w:p w:rsidR="004E49A4" w:rsidRPr="005B3109" w:rsidRDefault="004E49A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E49A4" w:rsidRPr="0091191A" w:rsidTr="00535B26">
        <w:trPr>
          <w:trHeight w:val="225"/>
          <w:jc w:val="center"/>
        </w:trPr>
        <w:tc>
          <w:tcPr>
            <w:tcW w:w="3900" w:type="dxa"/>
            <w:tcBorders>
              <w:top w:val="nil"/>
              <w:left w:val="single" w:sz="4" w:space="0" w:color="auto"/>
              <w:bottom w:val="single" w:sz="4" w:space="0" w:color="auto"/>
              <w:right w:val="nil"/>
            </w:tcBorders>
            <w:shd w:val="clear" w:color="auto" w:fill="FFFFFF" w:themeFill="background1"/>
            <w:noWrap/>
            <w:hideMark/>
          </w:tcPr>
          <w:p w:rsidR="004E49A4" w:rsidRPr="005B3109" w:rsidRDefault="004E49A4" w:rsidP="004A5746">
            <w:pPr>
              <w:autoSpaceDE w:val="0"/>
              <w:autoSpaceDN w:val="0"/>
              <w:adjustRightInd w:val="0"/>
              <w:spacing w:after="0" w:line="240" w:lineRule="auto"/>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Canberra &amp; ACT</w:t>
            </w:r>
          </w:p>
        </w:tc>
        <w:tc>
          <w:tcPr>
            <w:tcW w:w="1120" w:type="dxa"/>
            <w:tcBorders>
              <w:top w:val="nil"/>
              <w:left w:val="single" w:sz="4" w:space="0" w:color="auto"/>
              <w:bottom w:val="single" w:sz="4" w:space="0" w:color="auto"/>
              <w:right w:val="single" w:sz="4" w:space="0" w:color="auto"/>
            </w:tcBorders>
            <w:shd w:val="clear" w:color="auto" w:fill="FFFFFF" w:themeFill="background1"/>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74.4</w:t>
            </w:r>
          </w:p>
        </w:tc>
        <w:tc>
          <w:tcPr>
            <w:tcW w:w="1120" w:type="dxa"/>
            <w:tcBorders>
              <w:top w:val="nil"/>
              <w:left w:val="nil"/>
              <w:bottom w:val="single" w:sz="4" w:space="0" w:color="auto"/>
              <w:right w:val="single" w:sz="4" w:space="0" w:color="auto"/>
            </w:tcBorders>
            <w:shd w:val="clear" w:color="auto" w:fill="FFFFFF" w:themeFill="background1"/>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20.8</w:t>
            </w:r>
          </w:p>
        </w:tc>
        <w:tc>
          <w:tcPr>
            <w:tcW w:w="1120" w:type="dxa"/>
            <w:tcBorders>
              <w:top w:val="nil"/>
              <w:left w:val="nil"/>
              <w:bottom w:val="single" w:sz="4" w:space="0" w:color="auto"/>
              <w:right w:val="single" w:sz="4" w:space="0" w:color="auto"/>
            </w:tcBorders>
            <w:shd w:val="clear" w:color="auto" w:fill="FFFFFF" w:themeFill="background1"/>
            <w:noWrap/>
            <w:hideMark/>
          </w:tcPr>
          <w:p w:rsidR="004E49A4" w:rsidRPr="005B3109" w:rsidRDefault="004E49A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3368</w:t>
            </w:r>
          </w:p>
        </w:tc>
      </w:tr>
    </w:tbl>
    <w:p w:rsidR="00930C49" w:rsidRPr="0091191A" w:rsidRDefault="00930C49" w:rsidP="00930C49">
      <w:pPr>
        <w:rPr>
          <w:highlight w:val="yellow"/>
        </w:rPr>
      </w:pPr>
    </w:p>
    <w:p w:rsidR="00930C49" w:rsidRPr="005B3109" w:rsidRDefault="00930C49" w:rsidP="00930C49">
      <w:pPr>
        <w:pStyle w:val="Heading2"/>
        <w:rPr>
          <w:bCs w:val="0"/>
          <w:iCs w:val="0"/>
          <w:color w:val="00746B"/>
        </w:rPr>
      </w:pPr>
      <w:r w:rsidRPr="0091191A">
        <w:rPr>
          <w:highlight w:val="yellow"/>
        </w:rPr>
        <w:br w:type="page"/>
      </w:r>
      <w:r w:rsidRPr="005B3109">
        <w:rPr>
          <w:bCs w:val="0"/>
          <w:iCs w:val="0"/>
          <w:color w:val="00746B"/>
        </w:rPr>
        <w:lastRenderedPageBreak/>
        <w:t xml:space="preserve">State and Territory IVI – </w:t>
      </w:r>
      <w:r w:rsidR="00A27C49">
        <w:rPr>
          <w:bCs w:val="0"/>
          <w:iCs w:val="0"/>
          <w:color w:val="00746B"/>
        </w:rPr>
        <w:t>December 2014</w:t>
      </w:r>
      <w:r w:rsidR="00A27C49" w:rsidRPr="005B3109">
        <w:rPr>
          <w:bCs w:val="0"/>
          <w:iCs w:val="0"/>
          <w:color w:val="00746B"/>
        </w:rPr>
        <w:t xml:space="preserve"> –</w:t>
      </w:r>
      <w:r w:rsidR="00A27C49">
        <w:rPr>
          <w:bCs w:val="0"/>
          <w:iCs w:val="0"/>
          <w:color w:val="00746B"/>
        </w:rPr>
        <w:t xml:space="preserve"> </w:t>
      </w:r>
      <w:r w:rsidRPr="005B3109">
        <w:rPr>
          <w:bCs w:val="0"/>
          <w:iCs w:val="0"/>
          <w:color w:val="00746B"/>
        </w:rPr>
        <w:t>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91191A"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5B3109" w:rsidRDefault="00930C49" w:rsidP="005B3109">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State IVI – </w:t>
            </w:r>
            <w:r w:rsidR="005B3109">
              <w:rPr>
                <w:rFonts w:cs="Calibri"/>
                <w:b/>
                <w:bCs/>
                <w:color w:val="FFFFFF"/>
                <w:sz w:val="18"/>
                <w:szCs w:val="18"/>
                <w:lang w:eastAsia="en-AU"/>
              </w:rPr>
              <w:t>Dece</w:t>
            </w:r>
            <w:r w:rsidR="008B4C65" w:rsidRPr="005B3109">
              <w:rPr>
                <w:rFonts w:cs="Calibri"/>
                <w:b/>
                <w:bCs/>
                <w:color w:val="FFFFFF"/>
                <w:sz w:val="18"/>
                <w:szCs w:val="18"/>
                <w:lang w:eastAsia="en-AU"/>
              </w:rPr>
              <w:t>m</w:t>
            </w:r>
            <w:r w:rsidR="003A04A1" w:rsidRPr="005B3109">
              <w:rPr>
                <w:rFonts w:cs="Calibri"/>
                <w:b/>
                <w:bCs/>
                <w:color w:val="FFFFFF"/>
                <w:sz w:val="18"/>
                <w:szCs w:val="18"/>
                <w:lang w:eastAsia="en-AU"/>
              </w:rPr>
              <w:t>ber</w:t>
            </w:r>
            <w:r w:rsidRPr="005B3109">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Monthly </w:t>
            </w:r>
            <w:r w:rsidRPr="005B310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Yearly </w:t>
            </w:r>
            <w:r w:rsidRPr="005B310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Number of vacancies</w:t>
            </w:r>
          </w:p>
        </w:tc>
      </w:tr>
      <w:tr w:rsidR="005B3109" w:rsidRPr="0091191A" w:rsidTr="00DB4259">
        <w:trPr>
          <w:trHeight w:val="210"/>
          <w:jc w:val="center"/>
        </w:trPr>
        <w:tc>
          <w:tcPr>
            <w:tcW w:w="3900" w:type="dxa"/>
            <w:tcBorders>
              <w:top w:val="nil"/>
              <w:left w:val="single" w:sz="4" w:space="0" w:color="auto"/>
              <w:bottom w:val="single" w:sz="4" w:space="0" w:color="auto"/>
              <w:right w:val="nil"/>
            </w:tcBorders>
            <w:shd w:val="clear" w:color="auto" w:fill="00746B"/>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71.8</w:t>
            </w:r>
          </w:p>
        </w:tc>
        <w:tc>
          <w:tcPr>
            <w:tcW w:w="1120" w:type="dxa"/>
            <w:tcBorders>
              <w:top w:val="single" w:sz="4" w:space="0" w:color="auto"/>
              <w:left w:val="nil"/>
              <w:bottom w:val="single" w:sz="4" w:space="0" w:color="auto"/>
              <w:right w:val="nil"/>
            </w:tcBorders>
            <w:shd w:val="clear" w:color="auto" w:fill="00746B"/>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-1.0</w:t>
            </w:r>
          </w:p>
        </w:tc>
        <w:tc>
          <w:tcPr>
            <w:tcW w:w="1120" w:type="dxa"/>
            <w:tcBorders>
              <w:top w:val="single" w:sz="4" w:space="0" w:color="auto"/>
              <w:left w:val="nil"/>
              <w:bottom w:val="single" w:sz="4" w:space="0" w:color="auto"/>
              <w:right w:val="nil"/>
            </w:tcBorders>
            <w:shd w:val="clear" w:color="auto" w:fill="00746B"/>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6.4</w:t>
            </w:r>
          </w:p>
        </w:tc>
        <w:tc>
          <w:tcPr>
            <w:tcW w:w="112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152,576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95.4</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4.0</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19,559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81.6</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6.3</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39,032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80.6</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8.4</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19,656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98.1</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0.8</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15.7</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12,554</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64.9</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9.6</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26,899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64.8</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15,187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58.0</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0.7</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7418</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43.4</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9.3</w:t>
            </w:r>
          </w:p>
        </w:tc>
        <w:tc>
          <w:tcPr>
            <w:tcW w:w="112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12,611</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New South Wales</w:t>
            </w:r>
          </w:p>
        </w:tc>
        <w:tc>
          <w:tcPr>
            <w:tcW w:w="1120" w:type="dxa"/>
            <w:tcBorders>
              <w:top w:val="nil"/>
              <w:left w:val="nil"/>
              <w:bottom w:val="nil"/>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76.4</w:t>
            </w:r>
          </w:p>
        </w:tc>
        <w:tc>
          <w:tcPr>
            <w:tcW w:w="1120" w:type="dxa"/>
            <w:tcBorders>
              <w:top w:val="nil"/>
              <w:left w:val="nil"/>
              <w:bottom w:val="nil"/>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-1.1</w:t>
            </w:r>
          </w:p>
        </w:tc>
        <w:tc>
          <w:tcPr>
            <w:tcW w:w="1120" w:type="dxa"/>
            <w:tcBorders>
              <w:top w:val="nil"/>
              <w:left w:val="nil"/>
              <w:bottom w:val="nil"/>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13.1</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55,912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91.3</w:t>
            </w:r>
          </w:p>
        </w:tc>
        <w:tc>
          <w:tcPr>
            <w:tcW w:w="1120" w:type="dxa"/>
            <w:tcBorders>
              <w:top w:val="single" w:sz="4" w:space="0" w:color="auto"/>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w:t>
            </w:r>
          </w:p>
        </w:tc>
        <w:tc>
          <w:tcPr>
            <w:tcW w:w="1120" w:type="dxa"/>
            <w:tcBorders>
              <w:top w:val="single" w:sz="4" w:space="0" w:color="auto"/>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8100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80.3</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12.0</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15,541</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93.4</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6113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106.5</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19.1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4110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65.8</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12.7</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10,270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61.8</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5303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67.9</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2164</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58.9</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0.5</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15.3</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4059</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Victoria</w:t>
            </w:r>
          </w:p>
        </w:tc>
        <w:tc>
          <w:tcPr>
            <w:tcW w:w="1120" w:type="dxa"/>
            <w:tcBorders>
              <w:top w:val="nil"/>
              <w:left w:val="nil"/>
              <w:bottom w:val="nil"/>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73.0</w:t>
            </w:r>
          </w:p>
        </w:tc>
        <w:tc>
          <w:tcPr>
            <w:tcW w:w="1120" w:type="dxa"/>
            <w:tcBorders>
              <w:top w:val="nil"/>
              <w:left w:val="nil"/>
              <w:bottom w:val="nil"/>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-0.8</w:t>
            </w:r>
          </w:p>
        </w:tc>
        <w:tc>
          <w:tcPr>
            <w:tcW w:w="1120" w:type="dxa"/>
            <w:tcBorders>
              <w:top w:val="nil"/>
              <w:left w:val="nil"/>
              <w:bottom w:val="nil"/>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6.7</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36,632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98.7</w:t>
            </w:r>
          </w:p>
        </w:tc>
        <w:tc>
          <w:tcPr>
            <w:tcW w:w="1120" w:type="dxa"/>
            <w:tcBorders>
              <w:top w:val="single" w:sz="4" w:space="0" w:color="auto"/>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w:t>
            </w:r>
          </w:p>
        </w:tc>
        <w:tc>
          <w:tcPr>
            <w:tcW w:w="1120" w:type="dxa"/>
            <w:tcBorders>
              <w:top w:val="single" w:sz="4" w:space="0" w:color="auto"/>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4673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82.3</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9200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84.7</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14.8</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4430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101.0</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0.6</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11.9</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3099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64.1</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6.5</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6578</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66.5</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3879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61.2</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-0.9</w:t>
            </w:r>
          </w:p>
        </w:tc>
        <w:tc>
          <w:tcPr>
            <w:tcW w:w="1120" w:type="dxa"/>
            <w:tcBorders>
              <w:top w:val="nil"/>
              <w:left w:val="single" w:sz="4" w:space="0" w:color="auto"/>
              <w:bottom w:val="nil"/>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17.6</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1746</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44.0</w:t>
            </w:r>
          </w:p>
        </w:tc>
        <w:tc>
          <w:tcPr>
            <w:tcW w:w="1120" w:type="dxa"/>
            <w:tcBorders>
              <w:top w:val="nil"/>
              <w:left w:val="single" w:sz="4" w:space="0" w:color="auto"/>
              <w:bottom w:val="single" w:sz="4" w:space="0" w:color="auto"/>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-0.5</w:t>
            </w:r>
          </w:p>
        </w:tc>
        <w:tc>
          <w:tcPr>
            <w:tcW w:w="1120" w:type="dxa"/>
            <w:tcBorders>
              <w:top w:val="nil"/>
              <w:left w:val="single" w:sz="4" w:space="0" w:color="auto"/>
              <w:bottom w:val="single" w:sz="4" w:space="0" w:color="auto"/>
              <w:right w:val="nil"/>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15.4</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3001</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Queensland</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58.0</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0.0</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2.3</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28,628</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80.4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3089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71.5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6790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56.6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4202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80.1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2646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58.2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4922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58.6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2886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43.1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1569</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31.2</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0.8</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-3.4</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2582</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South Australia</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54.9</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-0.2</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2.2</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7222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70.9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737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73.3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1453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57.5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1055</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67.2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703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51.7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1086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51.7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773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47.7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485</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35.4</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0.2</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921</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Western Australia</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91.2</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-2.9</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0.2</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16,733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152.0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2072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91.1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3697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122.7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2822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156.7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25.1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1264</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75.4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2771</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102.4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1710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75.8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1101</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45.7</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13.0</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1391</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Tasmania</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58.4</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0.1</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9.1</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1670</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162</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88.6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317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66.2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247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77.0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193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65.7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219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60.4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201</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38.4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10.8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99</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29.6</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0.0</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26.3</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240</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Northern Territory</w:t>
            </w:r>
          </w:p>
        </w:tc>
        <w:tc>
          <w:tcPr>
            <w:tcW w:w="1120" w:type="dxa"/>
            <w:tcBorders>
              <w:top w:val="nil"/>
              <w:left w:val="single" w:sz="4" w:space="0" w:color="auto"/>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97.3</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1.4</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-2.4</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2387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117.9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257</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167.0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576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94.8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403</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89.4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214</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118.1</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416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182</w:t>
            </w:r>
          </w:p>
        </w:tc>
      </w:tr>
      <w:tr w:rsidR="005B3109" w:rsidRPr="0091191A" w:rsidTr="007F669C">
        <w:trPr>
          <w:trHeight w:val="8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90.6</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168</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40.9</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0.0</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-9.1</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188</w:t>
            </w:r>
          </w:p>
        </w:tc>
      </w:tr>
      <w:tr w:rsidR="005B3109" w:rsidRPr="00911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b/>
                <w:bCs/>
                <w:color w:val="FFFFFF"/>
                <w:sz w:val="14"/>
                <w:szCs w:val="14"/>
                <w:lang w:eastAsia="en-AU"/>
              </w:rPr>
            </w:pPr>
            <w:r w:rsidRPr="005B3109">
              <w:rPr>
                <w:rFonts w:cs="Calibri"/>
                <w:b/>
                <w:bCs/>
                <w:color w:val="FFFFFF"/>
                <w:sz w:val="14"/>
                <w:szCs w:val="14"/>
                <w:lang w:eastAsia="en-AU"/>
              </w:rPr>
              <w:t>Australian Capital Territory</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113.2</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-0.8</w:t>
            </w:r>
          </w:p>
        </w:tc>
        <w:tc>
          <w:tcPr>
            <w:tcW w:w="1120" w:type="dxa"/>
            <w:tcBorders>
              <w:top w:val="nil"/>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16.6</w:t>
            </w:r>
          </w:p>
        </w:tc>
        <w:tc>
          <w:tcPr>
            <w:tcW w:w="1120" w:type="dxa"/>
            <w:tcBorders>
              <w:top w:val="nil"/>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5B3109">
              <w:rPr>
                <w:rFonts w:ascii="Calibri" w:eastAsia="Times New Roman" w:hAnsi="Calibri" w:cs="Calibri"/>
                <w:b/>
                <w:bCs/>
                <w:color w:val="FFFFFF"/>
                <w:sz w:val="14"/>
                <w:szCs w:val="14"/>
                <w:lang w:eastAsia="en-AU"/>
              </w:rPr>
              <w:t>3689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120.0</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529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112.9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1486</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140.3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16.9</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324</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203.2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288</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92.3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23.2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588</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89.3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-7.7</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239</w:t>
            </w:r>
          </w:p>
        </w:tc>
      </w:tr>
      <w:tr w:rsidR="005B3109" w:rsidRPr="0091191A" w:rsidTr="007F669C">
        <w:trPr>
          <w:trHeight w:val="170"/>
          <w:jc w:val="center"/>
        </w:trPr>
        <w:tc>
          <w:tcPr>
            <w:tcW w:w="390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81.5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52</w:t>
            </w:r>
          </w:p>
        </w:tc>
      </w:tr>
      <w:tr w:rsidR="005B3109" w:rsidRPr="00911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4"/>
                <w:szCs w:val="14"/>
                <w:lang w:eastAsia="en-AU"/>
              </w:rPr>
            </w:pPr>
            <w:r w:rsidRPr="005B310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81.7</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-2.2</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14.4</w:t>
            </w:r>
          </w:p>
        </w:tc>
        <w:tc>
          <w:tcPr>
            <w:tcW w:w="1120" w:type="dxa"/>
            <w:tcBorders>
              <w:top w:val="nil"/>
              <w:left w:val="nil"/>
              <w:bottom w:val="single" w:sz="4" w:space="0" w:color="auto"/>
              <w:right w:val="single" w:sz="4" w:space="0" w:color="auto"/>
            </w:tcBorders>
            <w:shd w:val="clear" w:color="auto" w:fill="auto"/>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5B3109">
              <w:rPr>
                <w:rFonts w:ascii="Calibri" w:eastAsia="Times New Roman" w:hAnsi="Calibri" w:cs="Calibri"/>
                <w:color w:val="000000"/>
                <w:sz w:val="14"/>
                <w:szCs w:val="14"/>
                <w:lang w:eastAsia="en-AU"/>
              </w:rPr>
              <w:t>159</w:t>
            </w:r>
          </w:p>
        </w:tc>
      </w:tr>
    </w:tbl>
    <w:p w:rsidR="00930C49" w:rsidRPr="005B3109" w:rsidRDefault="00930C49" w:rsidP="00930C49">
      <w:pPr>
        <w:pStyle w:val="Heading2"/>
        <w:spacing w:after="120"/>
        <w:rPr>
          <w:color w:val="00746B"/>
        </w:rPr>
      </w:pPr>
      <w:r w:rsidRPr="005B3109">
        <w:rPr>
          <w:color w:val="00746B"/>
        </w:rPr>
        <w:lastRenderedPageBreak/>
        <w:t xml:space="preserve">Occupational IVI – </w:t>
      </w:r>
      <w:r w:rsidR="00A27C49">
        <w:rPr>
          <w:bCs w:val="0"/>
          <w:iCs w:val="0"/>
          <w:color w:val="00746B"/>
        </w:rPr>
        <w:t>December 2014</w:t>
      </w:r>
      <w:r w:rsidR="00A27C49" w:rsidRPr="005B3109">
        <w:rPr>
          <w:bCs w:val="0"/>
          <w:iCs w:val="0"/>
          <w:color w:val="00746B"/>
        </w:rPr>
        <w:t xml:space="preserve"> –</w:t>
      </w:r>
      <w:r w:rsidR="00A27C49">
        <w:rPr>
          <w:bCs w:val="0"/>
          <w:iCs w:val="0"/>
          <w:color w:val="00746B"/>
        </w:rPr>
        <w:t xml:space="preserve"> </w:t>
      </w:r>
      <w:r w:rsidRPr="005B3109">
        <w:rPr>
          <w:color w:val="00746B"/>
        </w:rPr>
        <w:t>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91191A" w:rsidTr="007F669C">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5B3109" w:rsidRDefault="00AA3C08" w:rsidP="005B3109">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Occupational IVI – </w:t>
            </w:r>
            <w:r w:rsidR="005B3109">
              <w:rPr>
                <w:rFonts w:cs="Calibri"/>
                <w:b/>
                <w:bCs/>
                <w:color w:val="FFFFFF"/>
                <w:sz w:val="18"/>
                <w:szCs w:val="18"/>
                <w:lang w:eastAsia="en-AU"/>
              </w:rPr>
              <w:t>Decem</w:t>
            </w:r>
            <w:r w:rsidR="003A04A1" w:rsidRPr="005B3109">
              <w:rPr>
                <w:rFonts w:cs="Calibri"/>
                <w:b/>
                <w:bCs/>
                <w:color w:val="FFFFFF"/>
                <w:sz w:val="18"/>
                <w:szCs w:val="18"/>
                <w:lang w:eastAsia="en-AU"/>
              </w:rPr>
              <w:t>ber</w:t>
            </w:r>
            <w:r w:rsidR="00930C49" w:rsidRPr="005B3109">
              <w:rPr>
                <w:rFonts w:cs="Calibri"/>
                <w:b/>
                <w:bCs/>
                <w:color w:val="FFFFFF"/>
                <w:sz w:val="18"/>
                <w:szCs w:val="18"/>
                <w:lang w:eastAsia="en-AU"/>
              </w:rPr>
              <w:t xml:space="preserve"> 2014</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Index (Jan </w:t>
            </w:r>
            <w:r w:rsidRPr="005B3109">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 xml:space="preserve">Yearly </w:t>
            </w:r>
            <w:r w:rsidRPr="005B3109">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5B3109" w:rsidRDefault="00930C49" w:rsidP="007F669C">
            <w:pPr>
              <w:autoSpaceDE w:val="0"/>
              <w:autoSpaceDN w:val="0"/>
              <w:adjustRightInd w:val="0"/>
              <w:spacing w:after="0" w:line="240" w:lineRule="auto"/>
              <w:jc w:val="center"/>
              <w:rPr>
                <w:rFonts w:cs="Calibri"/>
                <w:b/>
                <w:bCs/>
                <w:color w:val="FFFFFF"/>
                <w:sz w:val="18"/>
                <w:szCs w:val="18"/>
                <w:lang w:eastAsia="en-AU"/>
              </w:rPr>
            </w:pPr>
            <w:r w:rsidRPr="005B3109">
              <w:rPr>
                <w:rFonts w:cs="Calibri"/>
                <w:b/>
                <w:bCs/>
                <w:color w:val="FFFFFF"/>
                <w:sz w:val="18"/>
                <w:szCs w:val="18"/>
                <w:lang w:eastAsia="en-AU"/>
              </w:rPr>
              <w:t>Number of vacancies</w:t>
            </w:r>
          </w:p>
        </w:tc>
      </w:tr>
      <w:tr w:rsidR="005B3109" w:rsidRPr="0091191A" w:rsidTr="00DB4259">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95.4</w:t>
            </w:r>
          </w:p>
        </w:tc>
        <w:tc>
          <w:tcPr>
            <w:tcW w:w="94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-1.4</w:t>
            </w:r>
          </w:p>
        </w:tc>
        <w:tc>
          <w:tcPr>
            <w:tcW w:w="960" w:type="dxa"/>
            <w:tcBorders>
              <w:top w:val="single" w:sz="4" w:space="0" w:color="auto"/>
              <w:left w:val="single" w:sz="4" w:space="0" w:color="auto"/>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4.0</w:t>
            </w:r>
          </w:p>
        </w:tc>
        <w:tc>
          <w:tcPr>
            <w:tcW w:w="1480" w:type="dxa"/>
            <w:tcBorders>
              <w:top w:val="single" w:sz="4" w:space="0" w:color="auto"/>
              <w:left w:val="single" w:sz="4" w:space="0" w:color="auto"/>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19,559</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132.2</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656</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70.0</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36.8</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107.4</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8.2</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4741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95.6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8795</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87.3</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7.3</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4222</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71.8</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10.8</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1206</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81.6</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6.3</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39,032</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77.6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11.5</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740</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102.6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1328</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77.4</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9016</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80.5</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15.2</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3545</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58.5</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8742</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127.9</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1685</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110.4</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3.6</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2730</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127.6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27.1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2196</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46.7</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-3.3</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-13.8</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2163</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49.8</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-4.8</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423</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173.9</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3.6</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2315</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166.6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26.5</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4369</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80.6</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-1.0</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8.4</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19,656</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83.5</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9.3</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4222</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68.6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4306</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102.0</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38.1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2874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Electrotechnology and Telecommunications Trades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75.2</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1841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91.7</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3904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70.8</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14.0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745</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76.7</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1367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76.6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405</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98.1</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0.8</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15.7</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12,554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138.4</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3.4</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914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129.5</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5286</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74.1</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24.0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3807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49.1</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617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108.9</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14.5</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1930</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64.9</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-1.4</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9.6</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26,899</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56.1</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5857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65.8</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-3.5</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644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87.2</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3841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65.7</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10.6</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4531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General-Inquiry Clerks, Call Centre, Receptionists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63.1</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9.2</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11,899</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64.8</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1.2</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15,187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69.2</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4990</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65.4</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6.8</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8884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47.8</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1387</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58.0</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0.7</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7418</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64.0</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0.1</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1552</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78.1</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-2.7</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1822</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Drivers and Storepersons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50.5</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2.8</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4057</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43.4</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9.3</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12,611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59.0</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3.4</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23.6</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2714</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63.8</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-2.5</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6.0</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1171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51.2</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7.6</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2037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36.7</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21.5</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857</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41.6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-3.8</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1041</w:t>
            </w:r>
          </w:p>
        </w:tc>
      </w:tr>
      <w:tr w:rsidR="005B3109" w:rsidRPr="0091191A" w:rsidTr="007F669C">
        <w:trPr>
          <w:trHeight w:val="225"/>
          <w:jc w:val="center"/>
        </w:trPr>
        <w:tc>
          <w:tcPr>
            <w:tcW w:w="4660" w:type="dxa"/>
            <w:tcBorders>
              <w:top w:val="nil"/>
              <w:left w:val="single" w:sz="4" w:space="0" w:color="auto"/>
              <w:bottom w:val="nil"/>
              <w:right w:val="nil"/>
            </w:tcBorders>
            <w:shd w:val="clear" w:color="auto" w:fill="auto"/>
            <w:noWrap/>
            <w:hideMark/>
          </w:tcPr>
          <w:p w:rsidR="005B3109" w:rsidRPr="005B3109" w:rsidRDefault="005B3109" w:rsidP="007F669C">
            <w:pPr>
              <w:autoSpaceDE w:val="0"/>
              <w:autoSpaceDN w:val="0"/>
              <w:adjustRightInd w:val="0"/>
              <w:spacing w:after="0" w:line="240" w:lineRule="auto"/>
              <w:rPr>
                <w:rFonts w:cs="Calibri"/>
                <w:color w:val="000000"/>
                <w:sz w:val="18"/>
                <w:szCs w:val="18"/>
                <w:lang w:eastAsia="en-AU"/>
              </w:rPr>
            </w:pPr>
            <w:r w:rsidRPr="005B3109">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34.6</w:t>
            </w:r>
          </w:p>
        </w:tc>
        <w:tc>
          <w:tcPr>
            <w:tcW w:w="94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3.9</w:t>
            </w:r>
          </w:p>
        </w:tc>
        <w:tc>
          <w:tcPr>
            <w:tcW w:w="1480" w:type="dxa"/>
            <w:tcBorders>
              <w:top w:val="nil"/>
              <w:left w:val="single" w:sz="4" w:space="0" w:color="auto"/>
              <w:bottom w:val="nil"/>
              <w:right w:val="single" w:sz="4" w:space="0" w:color="auto"/>
            </w:tcBorders>
            <w:shd w:val="clear" w:color="auto" w:fill="auto"/>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5B3109">
              <w:rPr>
                <w:rFonts w:ascii="Calibri" w:eastAsia="Times New Roman" w:hAnsi="Calibri" w:cs="Calibri"/>
                <w:color w:val="000000"/>
                <w:sz w:val="18"/>
                <w:szCs w:val="18"/>
                <w:lang w:eastAsia="en-AU"/>
              </w:rPr>
              <w:t>4734</w:t>
            </w:r>
          </w:p>
        </w:tc>
      </w:tr>
      <w:tr w:rsidR="005B3109" w:rsidRPr="00911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5B3109" w:rsidRPr="005B3109" w:rsidRDefault="005B3109" w:rsidP="007F669C">
            <w:pPr>
              <w:autoSpaceDE w:val="0"/>
              <w:autoSpaceDN w:val="0"/>
              <w:adjustRightInd w:val="0"/>
              <w:spacing w:after="0" w:line="240" w:lineRule="auto"/>
              <w:rPr>
                <w:rFonts w:cs="Calibri"/>
                <w:color w:val="FFFFFF"/>
                <w:sz w:val="18"/>
                <w:szCs w:val="18"/>
                <w:lang w:eastAsia="en-AU"/>
              </w:rPr>
            </w:pPr>
            <w:r w:rsidRPr="005B3109">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71.8</w:t>
            </w:r>
          </w:p>
        </w:tc>
        <w:tc>
          <w:tcPr>
            <w:tcW w:w="94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-1.0</w:t>
            </w:r>
          </w:p>
        </w:tc>
        <w:tc>
          <w:tcPr>
            <w:tcW w:w="960" w:type="dxa"/>
            <w:tcBorders>
              <w:top w:val="single" w:sz="4" w:space="0" w:color="auto"/>
              <w:left w:val="nil"/>
              <w:bottom w:val="single" w:sz="4" w:space="0" w:color="auto"/>
              <w:right w:val="nil"/>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5B3109">
              <w:rPr>
                <w:rFonts w:ascii="Calibri" w:eastAsia="Times New Roman" w:hAnsi="Calibri" w:cs="Calibri"/>
                <w:color w:val="FFFFFF"/>
                <w:sz w:val="18"/>
                <w:szCs w:val="18"/>
                <w:lang w:eastAsia="en-AU"/>
              </w:rPr>
              <w:t>6.4</w:t>
            </w:r>
          </w:p>
        </w:tc>
        <w:tc>
          <w:tcPr>
            <w:tcW w:w="1480" w:type="dxa"/>
            <w:tcBorders>
              <w:top w:val="single" w:sz="4" w:space="0" w:color="auto"/>
              <w:left w:val="nil"/>
              <w:bottom w:val="single" w:sz="4" w:space="0" w:color="auto"/>
              <w:right w:val="single" w:sz="4" w:space="0" w:color="auto"/>
            </w:tcBorders>
            <w:shd w:val="clear" w:color="auto" w:fill="00746B"/>
            <w:noWrap/>
            <w:hideMark/>
          </w:tcPr>
          <w:p w:rsidR="005B3109" w:rsidRPr="005B3109" w:rsidRDefault="005B310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5B3109">
              <w:rPr>
                <w:rFonts w:ascii="Calibri" w:eastAsia="Times New Roman" w:hAnsi="Calibri" w:cs="Calibri"/>
                <w:b/>
                <w:bCs/>
                <w:color w:val="FFFFFF"/>
                <w:sz w:val="18"/>
                <w:szCs w:val="18"/>
                <w:lang w:eastAsia="en-AU"/>
              </w:rPr>
              <w:t>152,576</w:t>
            </w:r>
          </w:p>
        </w:tc>
      </w:tr>
    </w:tbl>
    <w:p w:rsidR="00930C49" w:rsidRPr="0091191A" w:rsidRDefault="00930C49" w:rsidP="00930C49">
      <w:pPr>
        <w:rPr>
          <w:highlight w:val="yellow"/>
        </w:rPr>
      </w:pPr>
    </w:p>
    <w:p w:rsidR="00930C49" w:rsidRPr="0091191A" w:rsidRDefault="00930C49" w:rsidP="00930C49">
      <w:pPr>
        <w:pStyle w:val="Heading2"/>
        <w:rPr>
          <w:color w:val="00746B"/>
        </w:rPr>
      </w:pPr>
      <w:r w:rsidRPr="0091191A">
        <w:rPr>
          <w:highlight w:val="yellow"/>
        </w:rPr>
        <w:br w:type="page"/>
      </w:r>
      <w:r w:rsidRPr="0091191A">
        <w:rPr>
          <w:color w:val="00746B"/>
        </w:rPr>
        <w:lastRenderedPageBreak/>
        <w:t>Explanatory Notes</w:t>
      </w:r>
    </w:p>
    <w:p w:rsidR="001311ED" w:rsidRPr="0091191A" w:rsidRDefault="00930C49" w:rsidP="00A16792">
      <w:pPr>
        <w:pStyle w:val="ListParagraph"/>
        <w:numPr>
          <w:ilvl w:val="0"/>
          <w:numId w:val="2"/>
        </w:numPr>
        <w:spacing w:after="120" w:line="240" w:lineRule="auto"/>
        <w:ind w:left="284" w:hanging="284"/>
        <w:jc w:val="both"/>
      </w:pPr>
      <w:r w:rsidRPr="0091191A">
        <w:t>The monthly Internet Vacancy Index (IVI) is based on a count of online job advertisements newly lodged on SEEK, CareerOne and Australian JobSearch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38483D" w:rsidRPr="0091191A" w:rsidRDefault="00AA6EE1" w:rsidP="00A16792">
      <w:pPr>
        <w:pStyle w:val="ListParagraph"/>
        <w:numPr>
          <w:ilvl w:val="0"/>
          <w:numId w:val="2"/>
        </w:numPr>
        <w:spacing w:after="120" w:line="240" w:lineRule="auto"/>
        <w:ind w:left="284" w:hanging="284"/>
        <w:jc w:val="both"/>
      </w:pPr>
      <w:r w:rsidRPr="0091191A">
        <w:t>Since</w:t>
      </w:r>
      <w:r w:rsidR="0038483D" w:rsidRPr="0091191A">
        <w:t xml:space="preserve"> the </w:t>
      </w:r>
      <w:r w:rsidRPr="0091191A">
        <w:t>August</w:t>
      </w:r>
      <w:r w:rsidR="0038483D" w:rsidRPr="0091191A">
        <w:t xml:space="preserve"> 2014 issue of the Vacancy Report, job advertisements from the MyCareer website </w:t>
      </w:r>
      <w:r w:rsidRPr="0091191A">
        <w:t>have</w:t>
      </w:r>
      <w:r w:rsidR="0038483D" w:rsidRPr="0091191A">
        <w:t xml:space="preserve"> no longer</w:t>
      </w:r>
      <w:r w:rsidRPr="0091191A">
        <w:t xml:space="preserve"> been</w:t>
      </w:r>
      <w:r w:rsidR="0038483D" w:rsidRPr="0091191A">
        <w:t xml:space="preserve"> included in the IVI. To account for this change, all historical IVI series were reprocessed with MyCareer data removed for each month from mid-2012 onwards to determine the precise impact of the removal of the MyCareer data on the series. The impact of MyCareer’s removal was estimated by comparing the old series (which included MyCareer) and the reprocessed series (excluding MyCareer) from mid-2012 onwards. For data prior to mid-2012, a splicing technique, based on MyCareer’s share, was used to adjust the data to ensure they remained comparable with the reprocessed data from mid-2012 onwards. Seasonal adjustment and trending were then performed on the adjusted series. While in general terms the underlying trends in the series remain similar, the removal of MyCareer data from the series has reduced the number of vacancies included in the IVI. Accordingly, the level of vacancies after reprocessing is noticeably lower. The impact of removing MyCareer on changes in vacancies over time is low at a national level but varies by occupation, state and region. The Department continues to recommend the use of annual changes in trend data as the most reliable indicator of trends in job advertising.</w:t>
      </w:r>
    </w:p>
    <w:p w:rsidR="00930C49" w:rsidRPr="0091191A" w:rsidRDefault="00930C49" w:rsidP="005A11AF">
      <w:pPr>
        <w:pStyle w:val="ListParagraph"/>
        <w:numPr>
          <w:ilvl w:val="0"/>
          <w:numId w:val="2"/>
        </w:numPr>
        <w:spacing w:after="120" w:line="240" w:lineRule="auto"/>
        <w:ind w:left="284" w:hanging="284"/>
        <w:jc w:val="both"/>
      </w:pPr>
      <w:r w:rsidRPr="0091191A">
        <w:t>The Skilled IVI is based on the aggregation of Professionals and Technicians and Trades Workers.</w:t>
      </w:r>
    </w:p>
    <w:p w:rsidR="00930C49" w:rsidRPr="0091191A" w:rsidRDefault="00930C49" w:rsidP="005A11AF">
      <w:pPr>
        <w:pStyle w:val="ListParagraph"/>
        <w:numPr>
          <w:ilvl w:val="0"/>
          <w:numId w:val="2"/>
        </w:numPr>
        <w:spacing w:after="0" w:line="240" w:lineRule="auto"/>
        <w:ind w:left="284" w:hanging="284"/>
        <w:jc w:val="both"/>
      </w:pPr>
      <w:r w:rsidRPr="0091191A">
        <w:t xml:space="preserve">The Regional IVI was first published in September 2010 and back cast to May 2010. The Regional IVI concords vacancies to 38 best fit regions across the states and territories from the </w:t>
      </w:r>
      <w:r w:rsidR="00E36F10" w:rsidRPr="0091191A">
        <w:t>three</w:t>
      </w:r>
      <w:r w:rsidRPr="0091191A">
        <w:t xml:space="preserve"> job boards.</w:t>
      </w:r>
    </w:p>
    <w:p w:rsidR="00930C49" w:rsidRPr="0091191A" w:rsidRDefault="00930C49" w:rsidP="005A11AF">
      <w:pPr>
        <w:pStyle w:val="ListParagraph"/>
        <w:numPr>
          <w:ilvl w:val="0"/>
          <w:numId w:val="2"/>
        </w:numPr>
        <w:spacing w:after="0" w:line="240" w:lineRule="auto"/>
        <w:ind w:left="284" w:hanging="284"/>
        <w:jc w:val="both"/>
      </w:pPr>
      <w:r w:rsidRPr="0091191A">
        <w:t xml:space="preserve">For more information, please contact Carmel O’Regan (02 6240 2599) or email </w:t>
      </w:r>
      <w:hyperlink r:id="rId12" w:history="1">
        <w:r w:rsidRPr="0091191A">
          <w:rPr>
            <w:rStyle w:val="Hyperlink"/>
            <w:b/>
          </w:rPr>
          <w:t>carmel.oregan@employment.gov.au</w:t>
        </w:r>
      </w:hyperlink>
      <w:r w:rsidRPr="0091191A">
        <w:t>. Any media enquiries should be directed to the Department of Employment media unit (</w:t>
      </w:r>
      <w:hyperlink r:id="rId13" w:history="1">
        <w:r w:rsidRPr="0091191A">
          <w:rPr>
            <w:rStyle w:val="Hyperlink"/>
            <w:b/>
          </w:rPr>
          <w:t>media@employment.gov.au</w:t>
        </w:r>
      </w:hyperlink>
      <w:r w:rsidRPr="0091191A">
        <w:t xml:space="preserve">). </w:t>
      </w:r>
    </w:p>
    <w:p w:rsidR="00930C49" w:rsidRPr="0091191A" w:rsidRDefault="00930C49" w:rsidP="006210E1">
      <w:pPr>
        <w:pStyle w:val="Heading2"/>
        <w:spacing w:before="120"/>
        <w:rPr>
          <w:color w:val="00746B"/>
        </w:rPr>
      </w:pPr>
      <w:r w:rsidRPr="0091191A">
        <w:rPr>
          <w:color w:val="00746B"/>
        </w:rPr>
        <w:t>Acknowledgements</w:t>
      </w:r>
    </w:p>
    <w:p w:rsidR="00930C49" w:rsidRPr="0091191A" w:rsidRDefault="00930C49" w:rsidP="006210E1">
      <w:pPr>
        <w:spacing w:after="120" w:line="240" w:lineRule="auto"/>
      </w:pPr>
      <w:r w:rsidRPr="0091191A">
        <w:t>The Department of Employment thanks the following job boards for their contribution to the Vacancy Report:</w:t>
      </w:r>
    </w:p>
    <w:p w:rsidR="00930C49" w:rsidRPr="0091191A" w:rsidRDefault="00930C49" w:rsidP="006210E1">
      <w:pPr>
        <w:tabs>
          <w:tab w:val="left" w:pos="4500"/>
        </w:tabs>
        <w:spacing w:after="60" w:line="240" w:lineRule="auto"/>
      </w:pPr>
      <w:r w:rsidRPr="0091191A">
        <w:rPr>
          <w:noProof/>
          <w:lang w:eastAsia="en-AU"/>
        </w:rPr>
        <w:drawing>
          <wp:inline distT="0" distB="0" distL="0" distR="0" wp14:anchorId="1AFE0B62" wp14:editId="1F077C74">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91191A">
        <w:t xml:space="preserve">                  </w:t>
      </w:r>
      <w:r w:rsidRPr="0091191A">
        <w:rPr>
          <w:noProof/>
          <w:lang w:eastAsia="en-AU"/>
        </w:rPr>
        <w:drawing>
          <wp:inline distT="0" distB="0" distL="0" distR="0" wp14:anchorId="7D3E3D69" wp14:editId="57C6EC17">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91191A">
        <w:t xml:space="preserve">                  </w:t>
      </w:r>
      <w:r w:rsidRPr="0091191A">
        <w:rPr>
          <w:noProof/>
          <w:lang w:eastAsia="en-AU"/>
        </w:rPr>
        <w:drawing>
          <wp:inline distT="0" distB="0" distL="0" distR="0" wp14:anchorId="055C0D72" wp14:editId="377C6EC9">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91191A" w:rsidRDefault="00930C49" w:rsidP="006210E1">
      <w:pPr>
        <w:pStyle w:val="Heading2"/>
        <w:spacing w:after="120"/>
        <w:rPr>
          <w:color w:val="00746B"/>
        </w:rPr>
      </w:pPr>
      <w:r w:rsidRPr="0091191A">
        <w:rPr>
          <w:color w:val="00746B"/>
        </w:rPr>
        <w:t xml:space="preserve">Forthcoming release dates for </w:t>
      </w:r>
      <w:r w:rsidR="00BC60BD" w:rsidRPr="0091191A">
        <w:rPr>
          <w:color w:val="00746B"/>
        </w:rPr>
        <w:t>2015</w:t>
      </w:r>
      <w:r w:rsidRPr="0091191A">
        <w:rPr>
          <w:color w:val="00746B"/>
        </w:rPr>
        <w:t xml:space="preserve">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91191A"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91191A" w:rsidRDefault="00470DA2" w:rsidP="006210E1">
            <w:pPr>
              <w:rPr>
                <w:rFonts w:cs="Calibri"/>
                <w:color w:val="FFFFFF" w:themeColor="background1"/>
                <w:lang w:val="en-US"/>
              </w:rPr>
            </w:pPr>
            <w:r w:rsidRPr="0091191A">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91191A" w:rsidRDefault="00470DA2" w:rsidP="006210E1">
            <w:pPr>
              <w:rPr>
                <w:rFonts w:cs="Calibri"/>
                <w:color w:val="FFFFFF" w:themeColor="background1"/>
                <w:lang w:val="en-US"/>
              </w:rPr>
            </w:pPr>
            <w:r w:rsidRPr="0091191A">
              <w:rPr>
                <w:rFonts w:cs="Calibri"/>
                <w:color w:val="FFFFFF" w:themeColor="background1"/>
                <w:lang w:val="en-US"/>
              </w:rPr>
              <w:t>Release date:</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January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25 February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February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25 March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March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22 April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April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20 May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May 2015</w:t>
            </w:r>
          </w:p>
          <w:p w:rsidR="00BC60BD" w:rsidRPr="0091191A" w:rsidRDefault="00BC60BD" w:rsidP="006210E1">
            <w:pPr>
              <w:jc w:val="both"/>
              <w:rPr>
                <w:rFonts w:cstheme="minorHAnsi"/>
                <w:color w:val="000000"/>
                <w:lang w:val="en-US"/>
              </w:rPr>
            </w:pPr>
            <w:r w:rsidRPr="0091191A">
              <w:rPr>
                <w:rFonts w:cstheme="minorHAnsi"/>
                <w:color w:val="000000"/>
                <w:lang w:val="en-US"/>
              </w:rPr>
              <w:t>June 201</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24 June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June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22 July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July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19 August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August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23 September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September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21 October 2015</w:t>
            </w:r>
          </w:p>
        </w:tc>
      </w:tr>
      <w:tr w:rsidR="00BC60BD" w:rsidRPr="0091191A"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October 2015</w:t>
            </w:r>
          </w:p>
        </w:tc>
        <w:tc>
          <w:tcPr>
            <w:tcW w:w="2805" w:type="dxa"/>
            <w:tcBorders>
              <w:top w:val="nil"/>
              <w:left w:val="nil"/>
              <w:bottom w:val="nil"/>
              <w:right w:val="double" w:sz="4" w:space="0" w:color="auto"/>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25 November 2015</w:t>
            </w:r>
          </w:p>
        </w:tc>
      </w:tr>
      <w:tr w:rsidR="00BC60BD" w:rsidRPr="003D0DBE"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BC60BD" w:rsidRPr="0091191A" w:rsidRDefault="00BC60BD" w:rsidP="006210E1">
            <w:pPr>
              <w:jc w:val="both"/>
              <w:rPr>
                <w:rFonts w:cstheme="minorHAnsi"/>
                <w:color w:val="000000"/>
                <w:lang w:val="en-US"/>
              </w:rPr>
            </w:pPr>
            <w:r w:rsidRPr="0091191A">
              <w:rPr>
                <w:rFonts w:cstheme="minorHAnsi"/>
                <w:color w:val="000000"/>
                <w:lang w:val="en-US"/>
              </w:rPr>
              <w:t>November 2015</w:t>
            </w:r>
          </w:p>
        </w:tc>
        <w:tc>
          <w:tcPr>
            <w:tcW w:w="2805" w:type="dxa"/>
            <w:tcBorders>
              <w:top w:val="nil"/>
              <w:left w:val="nil"/>
              <w:bottom w:val="double" w:sz="4" w:space="0" w:color="auto"/>
              <w:right w:val="double" w:sz="4" w:space="0" w:color="auto"/>
            </w:tcBorders>
            <w:shd w:val="clear" w:color="auto" w:fill="auto"/>
          </w:tcPr>
          <w:p w:rsidR="00BC60BD" w:rsidRPr="003D0DBE" w:rsidRDefault="00BC60BD" w:rsidP="006210E1">
            <w:pPr>
              <w:jc w:val="both"/>
              <w:rPr>
                <w:rFonts w:cstheme="minorHAnsi"/>
                <w:color w:val="000000"/>
                <w:lang w:val="en-US"/>
              </w:rPr>
            </w:pPr>
            <w:r w:rsidRPr="0091191A">
              <w:rPr>
                <w:rFonts w:cstheme="minorHAnsi"/>
                <w:color w:val="000000"/>
                <w:lang w:val="en-US"/>
              </w:rPr>
              <w:t>16 December 2015</w:t>
            </w:r>
          </w:p>
        </w:tc>
      </w:tr>
    </w:tbl>
    <w:p w:rsidR="00930C49" w:rsidRPr="003D0DBE" w:rsidRDefault="00930C49" w:rsidP="00930C49">
      <w:pPr>
        <w:rPr>
          <w:rStyle w:val="SubtleEmphasis"/>
        </w:rPr>
      </w:pPr>
    </w:p>
    <w:sectPr w:rsidR="00930C49" w:rsidRPr="003D0DBE" w:rsidSect="00B971DA">
      <w:headerReference w:type="default" r:id="rId17"/>
      <w:footerReference w:type="default" r:id="rId18"/>
      <w:footerReference w:type="first" r:id="rId19"/>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B9E" w:rsidRDefault="00D80B9E" w:rsidP="00930C49">
      <w:pPr>
        <w:spacing w:after="0" w:line="240" w:lineRule="auto"/>
      </w:pPr>
      <w:r>
        <w:separator/>
      </w:r>
    </w:p>
  </w:endnote>
  <w:endnote w:type="continuationSeparator" w:id="0">
    <w:p w:rsidR="00D80B9E" w:rsidRDefault="00D80B9E"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4E8" w:rsidRDefault="00D80B9E"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8544E8">
          <w:fldChar w:fldCharType="begin"/>
        </w:r>
        <w:r w:rsidR="008544E8">
          <w:instrText xml:space="preserve"> PAGE   \* MERGEFORMAT </w:instrText>
        </w:r>
        <w:r w:rsidR="008544E8">
          <w:fldChar w:fldCharType="separate"/>
        </w:r>
        <w:r w:rsidR="000F2E24">
          <w:rPr>
            <w:noProof/>
          </w:rPr>
          <w:t>3</w:t>
        </w:r>
        <w:r w:rsidR="008544E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4E8" w:rsidRPr="003B5B80" w:rsidRDefault="008544E8"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B9E" w:rsidRDefault="00D80B9E" w:rsidP="00930C49">
      <w:pPr>
        <w:spacing w:after="0" w:line="240" w:lineRule="auto"/>
      </w:pPr>
      <w:r>
        <w:separator/>
      </w:r>
    </w:p>
  </w:footnote>
  <w:footnote w:type="continuationSeparator" w:id="0">
    <w:p w:rsidR="00D80B9E" w:rsidRDefault="00D80B9E" w:rsidP="0093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4E8" w:rsidRDefault="008544E8"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2">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15"/>
  </w:num>
  <w:num w:numId="2">
    <w:abstractNumId w:val="3"/>
  </w:num>
  <w:num w:numId="3">
    <w:abstractNumId w:val="10"/>
  </w:num>
  <w:num w:numId="4">
    <w:abstractNumId w:val="1"/>
  </w:num>
  <w:num w:numId="5">
    <w:abstractNumId w:val="5"/>
  </w:num>
  <w:num w:numId="6">
    <w:abstractNumId w:val="7"/>
  </w:num>
  <w:num w:numId="7">
    <w:abstractNumId w:val="0"/>
  </w:num>
  <w:num w:numId="8">
    <w:abstractNumId w:val="13"/>
  </w:num>
  <w:num w:numId="9">
    <w:abstractNumId w:val="16"/>
  </w:num>
  <w:num w:numId="10">
    <w:abstractNumId w:val="8"/>
  </w:num>
  <w:num w:numId="11">
    <w:abstractNumId w:val="12"/>
  </w:num>
  <w:num w:numId="12">
    <w:abstractNumId w:val="11"/>
  </w:num>
  <w:num w:numId="13">
    <w:abstractNumId w:val="17"/>
  </w:num>
  <w:num w:numId="14">
    <w:abstractNumId w:val="9"/>
  </w:num>
  <w:num w:numId="15">
    <w:abstractNumId w:val="14"/>
  </w:num>
  <w:num w:numId="16">
    <w:abstractNumId w:val="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30C49"/>
    <w:rsid w:val="00010651"/>
    <w:rsid w:val="000107D0"/>
    <w:rsid w:val="000220EC"/>
    <w:rsid w:val="00043EF3"/>
    <w:rsid w:val="00052B51"/>
    <w:rsid w:val="00054DCF"/>
    <w:rsid w:val="00073AD9"/>
    <w:rsid w:val="00073C5A"/>
    <w:rsid w:val="00093440"/>
    <w:rsid w:val="000951AF"/>
    <w:rsid w:val="00095D52"/>
    <w:rsid w:val="000B38A7"/>
    <w:rsid w:val="000D01D7"/>
    <w:rsid w:val="000E3D79"/>
    <w:rsid w:val="000F2E24"/>
    <w:rsid w:val="00101D76"/>
    <w:rsid w:val="00102A5C"/>
    <w:rsid w:val="001065D9"/>
    <w:rsid w:val="001176A6"/>
    <w:rsid w:val="00121454"/>
    <w:rsid w:val="00125CB2"/>
    <w:rsid w:val="001311ED"/>
    <w:rsid w:val="00141C4E"/>
    <w:rsid w:val="001450D8"/>
    <w:rsid w:val="00145AC2"/>
    <w:rsid w:val="001770F3"/>
    <w:rsid w:val="00177B71"/>
    <w:rsid w:val="00182734"/>
    <w:rsid w:val="001B0866"/>
    <w:rsid w:val="001B12D4"/>
    <w:rsid w:val="001B504F"/>
    <w:rsid w:val="001F6C45"/>
    <w:rsid w:val="0020602B"/>
    <w:rsid w:val="0021178D"/>
    <w:rsid w:val="0021306C"/>
    <w:rsid w:val="00221B8B"/>
    <w:rsid w:val="002328BE"/>
    <w:rsid w:val="00236E6D"/>
    <w:rsid w:val="002435A0"/>
    <w:rsid w:val="002451E8"/>
    <w:rsid w:val="00267C86"/>
    <w:rsid w:val="002902E2"/>
    <w:rsid w:val="002B216E"/>
    <w:rsid w:val="002B55FF"/>
    <w:rsid w:val="002B6AC5"/>
    <w:rsid w:val="002B729E"/>
    <w:rsid w:val="002C03CB"/>
    <w:rsid w:val="002D1E37"/>
    <w:rsid w:val="002D3BD7"/>
    <w:rsid w:val="002E63C4"/>
    <w:rsid w:val="00300F2E"/>
    <w:rsid w:val="00310611"/>
    <w:rsid w:val="0033515C"/>
    <w:rsid w:val="00346893"/>
    <w:rsid w:val="0035755D"/>
    <w:rsid w:val="00360746"/>
    <w:rsid w:val="00363907"/>
    <w:rsid w:val="0037281E"/>
    <w:rsid w:val="00372B10"/>
    <w:rsid w:val="00373502"/>
    <w:rsid w:val="00381D63"/>
    <w:rsid w:val="0038483D"/>
    <w:rsid w:val="00385430"/>
    <w:rsid w:val="00397AF7"/>
    <w:rsid w:val="003A04A1"/>
    <w:rsid w:val="003B191A"/>
    <w:rsid w:val="003B5B80"/>
    <w:rsid w:val="003D0DBE"/>
    <w:rsid w:val="003D18EA"/>
    <w:rsid w:val="003F0E8A"/>
    <w:rsid w:val="00416911"/>
    <w:rsid w:val="00416F1F"/>
    <w:rsid w:val="004302A1"/>
    <w:rsid w:val="00457ADC"/>
    <w:rsid w:val="0046707F"/>
    <w:rsid w:val="00470DA2"/>
    <w:rsid w:val="0048417D"/>
    <w:rsid w:val="004853D4"/>
    <w:rsid w:val="00487086"/>
    <w:rsid w:val="00492D79"/>
    <w:rsid w:val="004A5746"/>
    <w:rsid w:val="004B3AE9"/>
    <w:rsid w:val="004B645C"/>
    <w:rsid w:val="004E22FA"/>
    <w:rsid w:val="004E49A4"/>
    <w:rsid w:val="004E516C"/>
    <w:rsid w:val="004E74AD"/>
    <w:rsid w:val="005001A0"/>
    <w:rsid w:val="00511D15"/>
    <w:rsid w:val="00515F6D"/>
    <w:rsid w:val="005167D8"/>
    <w:rsid w:val="005207C2"/>
    <w:rsid w:val="00524C97"/>
    <w:rsid w:val="005262C3"/>
    <w:rsid w:val="005273D7"/>
    <w:rsid w:val="00535B26"/>
    <w:rsid w:val="005364C7"/>
    <w:rsid w:val="00552F29"/>
    <w:rsid w:val="0058550C"/>
    <w:rsid w:val="0059788E"/>
    <w:rsid w:val="005A00AE"/>
    <w:rsid w:val="005A11AF"/>
    <w:rsid w:val="005B0DCB"/>
    <w:rsid w:val="005B1F73"/>
    <w:rsid w:val="005B2F6C"/>
    <w:rsid w:val="005B3109"/>
    <w:rsid w:val="005B454B"/>
    <w:rsid w:val="005D09F1"/>
    <w:rsid w:val="005D236C"/>
    <w:rsid w:val="005E4661"/>
    <w:rsid w:val="005E5C1C"/>
    <w:rsid w:val="005F084A"/>
    <w:rsid w:val="005F181C"/>
    <w:rsid w:val="00604501"/>
    <w:rsid w:val="00607ACB"/>
    <w:rsid w:val="00613648"/>
    <w:rsid w:val="00614EC7"/>
    <w:rsid w:val="006210E1"/>
    <w:rsid w:val="00625EB5"/>
    <w:rsid w:val="00626D9B"/>
    <w:rsid w:val="00631328"/>
    <w:rsid w:val="00633D95"/>
    <w:rsid w:val="00641A69"/>
    <w:rsid w:val="00641CEB"/>
    <w:rsid w:val="00642DE4"/>
    <w:rsid w:val="0064391A"/>
    <w:rsid w:val="00667C67"/>
    <w:rsid w:val="006710B5"/>
    <w:rsid w:val="00671F24"/>
    <w:rsid w:val="00674CE3"/>
    <w:rsid w:val="00680EDD"/>
    <w:rsid w:val="0068548C"/>
    <w:rsid w:val="00693583"/>
    <w:rsid w:val="0069550D"/>
    <w:rsid w:val="006A5700"/>
    <w:rsid w:val="006B3A56"/>
    <w:rsid w:val="006C0C48"/>
    <w:rsid w:val="006F711D"/>
    <w:rsid w:val="007125E1"/>
    <w:rsid w:val="00714A94"/>
    <w:rsid w:val="007368DD"/>
    <w:rsid w:val="00737AB0"/>
    <w:rsid w:val="0074301B"/>
    <w:rsid w:val="00745260"/>
    <w:rsid w:val="00745865"/>
    <w:rsid w:val="0077104A"/>
    <w:rsid w:val="007725D7"/>
    <w:rsid w:val="00775DB1"/>
    <w:rsid w:val="0078302F"/>
    <w:rsid w:val="007A29C7"/>
    <w:rsid w:val="007C1B39"/>
    <w:rsid w:val="007D03F5"/>
    <w:rsid w:val="007E0819"/>
    <w:rsid w:val="007E6D01"/>
    <w:rsid w:val="007F669C"/>
    <w:rsid w:val="0081326C"/>
    <w:rsid w:val="008158DD"/>
    <w:rsid w:val="0082117A"/>
    <w:rsid w:val="00823B00"/>
    <w:rsid w:val="0083244E"/>
    <w:rsid w:val="008341A7"/>
    <w:rsid w:val="008365D1"/>
    <w:rsid w:val="00850513"/>
    <w:rsid w:val="008544E8"/>
    <w:rsid w:val="0085598D"/>
    <w:rsid w:val="00865842"/>
    <w:rsid w:val="00873170"/>
    <w:rsid w:val="008737B9"/>
    <w:rsid w:val="00875C2B"/>
    <w:rsid w:val="00885495"/>
    <w:rsid w:val="00887ECD"/>
    <w:rsid w:val="0089444A"/>
    <w:rsid w:val="00896D1D"/>
    <w:rsid w:val="008A0612"/>
    <w:rsid w:val="008A190B"/>
    <w:rsid w:val="008A3CDE"/>
    <w:rsid w:val="008A649E"/>
    <w:rsid w:val="008A7C56"/>
    <w:rsid w:val="008B4C65"/>
    <w:rsid w:val="008B6E71"/>
    <w:rsid w:val="008D5598"/>
    <w:rsid w:val="008E4AB0"/>
    <w:rsid w:val="008F143E"/>
    <w:rsid w:val="008F23D3"/>
    <w:rsid w:val="008F617B"/>
    <w:rsid w:val="008F6DE6"/>
    <w:rsid w:val="009114D2"/>
    <w:rsid w:val="0091191A"/>
    <w:rsid w:val="00922225"/>
    <w:rsid w:val="00926E03"/>
    <w:rsid w:val="00930C49"/>
    <w:rsid w:val="00931991"/>
    <w:rsid w:val="00945A99"/>
    <w:rsid w:val="00956237"/>
    <w:rsid w:val="00960175"/>
    <w:rsid w:val="0096217E"/>
    <w:rsid w:val="00965362"/>
    <w:rsid w:val="009853CF"/>
    <w:rsid w:val="00996440"/>
    <w:rsid w:val="009A2CC9"/>
    <w:rsid w:val="009B7B01"/>
    <w:rsid w:val="009E15A1"/>
    <w:rsid w:val="009E3EEE"/>
    <w:rsid w:val="009F72A9"/>
    <w:rsid w:val="009F75B4"/>
    <w:rsid w:val="00A15233"/>
    <w:rsid w:val="00A16792"/>
    <w:rsid w:val="00A25674"/>
    <w:rsid w:val="00A27C49"/>
    <w:rsid w:val="00A32E90"/>
    <w:rsid w:val="00A350E4"/>
    <w:rsid w:val="00A35BAC"/>
    <w:rsid w:val="00A507DD"/>
    <w:rsid w:val="00A55324"/>
    <w:rsid w:val="00A64CE9"/>
    <w:rsid w:val="00A65894"/>
    <w:rsid w:val="00A70DFC"/>
    <w:rsid w:val="00A81DAB"/>
    <w:rsid w:val="00A87734"/>
    <w:rsid w:val="00A95F34"/>
    <w:rsid w:val="00AA13CC"/>
    <w:rsid w:val="00AA3C08"/>
    <w:rsid w:val="00AA6EE1"/>
    <w:rsid w:val="00AB6412"/>
    <w:rsid w:val="00AB6AE0"/>
    <w:rsid w:val="00AF055C"/>
    <w:rsid w:val="00B02D95"/>
    <w:rsid w:val="00B05A71"/>
    <w:rsid w:val="00B13A6E"/>
    <w:rsid w:val="00B14E32"/>
    <w:rsid w:val="00B22156"/>
    <w:rsid w:val="00B30EF6"/>
    <w:rsid w:val="00B316C6"/>
    <w:rsid w:val="00B4410E"/>
    <w:rsid w:val="00B51ED8"/>
    <w:rsid w:val="00B52E48"/>
    <w:rsid w:val="00B62292"/>
    <w:rsid w:val="00B650D0"/>
    <w:rsid w:val="00B7020F"/>
    <w:rsid w:val="00B80845"/>
    <w:rsid w:val="00B81A9B"/>
    <w:rsid w:val="00B86433"/>
    <w:rsid w:val="00B971DA"/>
    <w:rsid w:val="00BA058D"/>
    <w:rsid w:val="00BA2498"/>
    <w:rsid w:val="00BB0F8F"/>
    <w:rsid w:val="00BC21FB"/>
    <w:rsid w:val="00BC60BD"/>
    <w:rsid w:val="00BD37F2"/>
    <w:rsid w:val="00C03571"/>
    <w:rsid w:val="00C24C00"/>
    <w:rsid w:val="00C34A57"/>
    <w:rsid w:val="00C45338"/>
    <w:rsid w:val="00C47269"/>
    <w:rsid w:val="00C47938"/>
    <w:rsid w:val="00C52D7B"/>
    <w:rsid w:val="00C834CC"/>
    <w:rsid w:val="00C94984"/>
    <w:rsid w:val="00C94D03"/>
    <w:rsid w:val="00C97CA9"/>
    <w:rsid w:val="00CB03C3"/>
    <w:rsid w:val="00CB4984"/>
    <w:rsid w:val="00CD4EA5"/>
    <w:rsid w:val="00CD7DAC"/>
    <w:rsid w:val="00CE0E64"/>
    <w:rsid w:val="00CE3EF3"/>
    <w:rsid w:val="00CF0CFD"/>
    <w:rsid w:val="00D00033"/>
    <w:rsid w:val="00D126B2"/>
    <w:rsid w:val="00D135D2"/>
    <w:rsid w:val="00D163B1"/>
    <w:rsid w:val="00D22332"/>
    <w:rsid w:val="00D415C5"/>
    <w:rsid w:val="00D415EE"/>
    <w:rsid w:val="00D45269"/>
    <w:rsid w:val="00D470DF"/>
    <w:rsid w:val="00D52608"/>
    <w:rsid w:val="00D63185"/>
    <w:rsid w:val="00D63F4D"/>
    <w:rsid w:val="00D670B7"/>
    <w:rsid w:val="00D74CBD"/>
    <w:rsid w:val="00D80B9E"/>
    <w:rsid w:val="00D80EB0"/>
    <w:rsid w:val="00D9036A"/>
    <w:rsid w:val="00D97718"/>
    <w:rsid w:val="00DA0CD0"/>
    <w:rsid w:val="00DB1C98"/>
    <w:rsid w:val="00DB381C"/>
    <w:rsid w:val="00DB4259"/>
    <w:rsid w:val="00DC157F"/>
    <w:rsid w:val="00DC51F6"/>
    <w:rsid w:val="00DC7244"/>
    <w:rsid w:val="00DE357C"/>
    <w:rsid w:val="00E00130"/>
    <w:rsid w:val="00E07F7D"/>
    <w:rsid w:val="00E114BA"/>
    <w:rsid w:val="00E17968"/>
    <w:rsid w:val="00E2148C"/>
    <w:rsid w:val="00E357B7"/>
    <w:rsid w:val="00E36DCD"/>
    <w:rsid w:val="00E36F10"/>
    <w:rsid w:val="00E37456"/>
    <w:rsid w:val="00E62879"/>
    <w:rsid w:val="00E65DE5"/>
    <w:rsid w:val="00E75B86"/>
    <w:rsid w:val="00E81BCB"/>
    <w:rsid w:val="00E83219"/>
    <w:rsid w:val="00ED56C7"/>
    <w:rsid w:val="00ED5A36"/>
    <w:rsid w:val="00EE6115"/>
    <w:rsid w:val="00F009FD"/>
    <w:rsid w:val="00F1093A"/>
    <w:rsid w:val="00F2192E"/>
    <w:rsid w:val="00F325B4"/>
    <w:rsid w:val="00F338A6"/>
    <w:rsid w:val="00F36ABD"/>
    <w:rsid w:val="00F42068"/>
    <w:rsid w:val="00F71B51"/>
    <w:rsid w:val="00F73054"/>
    <w:rsid w:val="00F96226"/>
    <w:rsid w:val="00FA18B8"/>
    <w:rsid w:val="00FC5E59"/>
    <w:rsid w:val="00FD16BC"/>
    <w:rsid w:val="00FD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mel.oregan@employment.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B1CC2-7336-4013-9D50-64B2D54B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2015-01-28T12:05:00Z</dcterms:created>
  <dcterms:modified xsi:type="dcterms:W3CDTF">2015-01-28T12:05:00Z</dcterms:modified>
</cp:coreProperties>
</file>